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18"/>
        </w:rPr>
        <w:t>HELIODESK / KNOWLEDGE BASE DRAFT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Customer Alpha Admin Recovery</w:t>
      </w:r>
    </w:p>
    <w:p>
      <w:pPr>
        <w:spacing w:after="280"/>
      </w:pPr>
      <w:r>
        <w:rPr>
          <w:rFonts w:ascii="Calibri" w:hAnsi="Calibri"/>
          <w:color w:val="667085"/>
          <w:sz w:val="20"/>
        </w:rPr>
        <w:t>Customer Alpha | 2026-08-04 | 4-hour SLA | 17 unresolved</w:t>
      </w:r>
    </w:p>
    <w:p>
      <w:pPr>
        <w:spacing w:after="160"/>
      </w:pPr>
      <w:r>
        <w:rPr>
          <w:rFonts w:ascii="Calibri" w:hAnsi="Calibri"/>
          <w:b/>
          <w:color w:val="1F3A5F"/>
          <w:sz w:val="22"/>
        </w:rPr>
        <w:t>Recover a locked or misconfigured Customer Alpha administrator without widening access or losing audit evidence.</w:t>
      </w:r>
    </w:p>
    <w:p>
      <w:pPr>
        <w:pStyle w:val="Heading1"/>
      </w:pPr>
      <w:r>
        <w:t>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When to use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Use for an admin who cannot sign in, cannot manage roles, or was removed from the approved group.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Do not use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Do not use for service-wide login failure; compare KI-1042 first.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SLA decision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If restoration cannot be verified within the 4-hour SLA, escalate with the recovery evidence bundle.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Related items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KI-1042, KI-1047, KI-1051, and KI-1054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— peer review required before publication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Verify the requestor against the approved admin roster; never accept a password, token, or private key in the ticket.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Capture the affected role, timestamp, tenant label, browser result, and the last successful action.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Check known issues KI-1042 and KI-1047 before changing membership or resetting a recovery method.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Apply the least-privilege recovery action, then ask the admin to sign in and complete one role-limited task.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2"/>
        </w:rPr>
        <w:t>Record the before/after role state and assign a named next owner if follow-up remains.</w:t>
      </w:r>
    </w:p>
    <w:p>
      <w:pPr>
        <w:pStyle w:val="Heading1"/>
      </w:pPr>
      <w:r>
        <w:t>Decision notes</w:t>
      </w:r>
    </w:p>
    <w:p>
      <w:pPr>
        <w:spacing w:after="120"/>
      </w:pPr>
      <w:r>
        <w:rPr>
          <w:rFonts w:ascii="Calibri" w:hAnsi="Calibri"/>
          <w:b/>
          <w:color w:val="7A5A00"/>
          <w:sz w:val="22"/>
        </w:rPr>
        <w:t xml:space="preserve">Guardrail: </w:t>
      </w:r>
      <w:r>
        <w:rPr>
          <w:rFonts w:ascii="Calibri" w:hAnsi="Calibri"/>
          <w:sz w:val="22"/>
        </w:rPr>
        <w:t>Use only sanitized evidence. Preserve the current owner until a receiving role explicitly accepts accountability.</w:t>
      </w:r>
    </w:p>
    <w:p>
      <w:pPr>
        <w:pStyle w:val="Heading1"/>
      </w:pPr>
      <w:r>
        <w:t>Troubleshooting and closure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Recovery cannot be reproduced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Attach sanitized browser steps and escalate to identity support.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Role returns but actions fail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Link KI-1047 and collect a non-secret permission snapshot.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Admin can sign in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Close only after the requester confirms the expected admin task.</w:t>
            </w:r>
          </w:p>
        </w:tc>
      </w:tr>
    </w:tbl>
    <w:p>
      <w:pPr>
        <w:pStyle w:val="Heading1"/>
      </w:pPr>
      <w:r>
        <w:t>Draft review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Article ID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KB-ALPHA-REC-01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Draft / internal review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Review owner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Support Knowledge Council (synthetic)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Publish gate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Content accuracy, privacy check, and operational sign-off</w:t>
            </w:r>
          </w:p>
        </w:tc>
      </w:tr>
      <w:tr>
        <w:trPr/>
        <w:tc>
          <w:tcPr>
            <w:tcW w:type="dxa" w:w="2700"/>
            <w:vAlign w:val="top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color w:val="1F4D78"/>
                <w:sz w:val="18"/>
              </w:rPr>
              <w:t>Cross-reference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sz w:val="18"/>
              </w:rPr>
              <w:t>article-metadata.json; publishing-workflow.yaml; draft-review-register.csv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Internal draft | Synthetic training content |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6"/>
      </w:rPr>
      <w:t>HelioDesk Knowledge Base | Draft KB-ALPHA-REC-01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