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18"/>
        </w:rPr>
        <w:t>HELIODESK / KNOWLEDGE BASE DRAFT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HelioDesk Queue Routing Guide</w:t>
      </w:r>
    </w:p>
    <w:p>
      <w:pPr>
        <w:spacing w:after="280"/>
      </w:pPr>
      <w:r>
        <w:rPr>
          <w:rFonts w:ascii="Calibri" w:hAnsi="Calibri"/>
          <w:color w:val="667085"/>
          <w:sz w:val="20"/>
        </w:rPr>
        <w:t>Customer Alpha | 2026-08-04 | 4-hour SLA | 17 unresolved</w:t>
      </w:r>
    </w:p>
    <w:p>
      <w:pPr>
        <w:spacing w:after="160"/>
      </w:pPr>
      <w:r>
        <w:rPr>
          <w:rFonts w:ascii="Calibri" w:hAnsi="Calibri"/>
          <w:b/>
          <w:color w:val="1F3A5F"/>
          <w:sz w:val="22"/>
        </w:rPr>
        <w:t>Route Customer Alpha work so the 17 unresolved tickets have a clear first owner, urgency signal, and escalation path.</w:t>
      </w:r>
    </w:p>
    <w:p>
      <w:pPr>
        <w:pStyle w:val="Heading1"/>
      </w:pPr>
      <w:r>
        <w:t>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Audience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Support agents and queue coordinators.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Routing boundary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Use only the synthetic Customer Alpha tenant label; do not copy customer contact details into examples.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Priority rule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Tickets with less than 60 minutes of SLA time or blocked administration are routed to Escalation Review.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Related items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KI-1042, KI-1047, KI-1051, and KI-1054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Review status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Draft — peer review required before publication</w:t>
            </w:r>
          </w:p>
        </w:tc>
      </w:tr>
    </w:tbl>
    <w:p>
      <w:pPr>
        <w:pStyle w:val="Heading1"/>
      </w:pPr>
      <w:r>
        <w:t>Procedure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Confirm the ticket is not already linked to an active parent incident.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Classify the request: access, configuration, workflow, integration, or documentation gap.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Set urgency from customer impact and remaining 4-hour SLA time, not from message tone.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Route known-issue matches to Known Issues Review and retain the original owning queue.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Add a single next-action sentence and a named role owner before transfer.</w:t>
      </w:r>
    </w:p>
    <w:p>
      <w:pPr>
        <w:pStyle w:val="Heading1"/>
      </w:pPr>
      <w:r>
        <w:t>Decision notes</w:t>
      </w:r>
    </w:p>
    <w:p>
      <w:pPr>
        <w:spacing w:after="120"/>
      </w:pPr>
      <w:r>
        <w:rPr>
          <w:rFonts w:ascii="Calibri" w:hAnsi="Calibri"/>
          <w:b/>
          <w:color w:val="7A5A00"/>
          <w:sz w:val="22"/>
        </w:rPr>
        <w:t xml:space="preserve">Guardrail: </w:t>
      </w:r>
      <w:r>
        <w:rPr>
          <w:rFonts w:ascii="Calibri" w:hAnsi="Calibri"/>
          <w:sz w:val="22"/>
        </w:rPr>
        <w:t>Use only sanitized evidence. Preserve the current owner until a receiving role explicitly accepts accountability.</w:t>
      </w:r>
    </w:p>
    <w:p>
      <w:r>
        <w:br w:type="page"/>
      </w:r>
    </w:p>
    <w:p>
      <w:pPr>
        <w:pStyle w:val="Heading1"/>
      </w:pPr>
      <w:r>
        <w:t>Troubleshooting and closure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Two queues claim ownership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Keep the original queue as accountable owner and request a consult from the specialist queue.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SLA is under 60 minutes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Route to Escalation Review and include current investigation state.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Known issue is suspected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Reference KI-1042, KI-1047, KI-1051, or KI-1054; do not assert a match without symptom evidence.</w:t>
            </w:r>
          </w:p>
        </w:tc>
      </w:tr>
    </w:tbl>
    <w:p>
      <w:pPr>
        <w:pStyle w:val="Heading1"/>
      </w:pPr>
      <w:r>
        <w:t>Draft review metadata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Article ID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Draft KB-QUEUE-02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Draft / internal review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Review owner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Support Knowledge Council (synthetic)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Publish gate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Content accuracy, privacy check, and operational sign-off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Cross-reference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article-metadata.json; publishing-workflow.yaml; draft-review-register.csv</w:t>
            </w:r>
          </w:p>
        </w:tc>
      </w:tr>
    </w:tbl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>Internal draft | Synthetic training content | 2026-08-04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7085"/>
        <w:sz w:val="16"/>
      </w:rPr>
      <w:t>HelioDesk Knowledge Base | Draft KB-QUEUE-02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