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8"/>
        </w:rPr>
        <w:t>HELIODESK / KNOWLEDGE BASE DRAFT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4-Hour SLA Escalation Playbook</w:t>
      </w:r>
    </w:p>
    <w:p>
      <w:pPr>
        <w:spacing w:after="280"/>
      </w:pPr>
      <w:r>
        <w:rPr>
          <w:rFonts w:ascii="Calibri" w:hAnsi="Calibri"/>
          <w:color w:val="667085"/>
          <w:sz w:val="20"/>
        </w:rPr>
        <w:t>Customer Alpha | 2026-08-04 | 4-hour SLA | 17 unresolved</w:t>
      </w:r>
    </w:p>
    <w:p>
      <w:pPr>
        <w:spacing w:after="160"/>
      </w:pPr>
      <w:r>
        <w:rPr>
          <w:rFonts w:ascii="Calibri" w:hAnsi="Calibri"/>
          <w:b/>
          <w:color w:val="1F3A5F"/>
          <w:sz w:val="22"/>
        </w:rPr>
        <w:t>Use this playbook when a Customer Alpha ticket risks missing the 4-hour SLA or needs cross-functional action.</w:t>
      </w:r>
    </w:p>
    <w:p>
      <w:pPr>
        <w:pStyle w:val="Heading1"/>
      </w:pPr>
      <w:r>
        <w:t>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Trigger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Escalate at 120 minutes unresolved, immediately for confirmed administration lockout, and at 60 minutes remaining for no-owner cases.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Escalation package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Ticket summary, customer impact, time remaining, evidence already checked, known issue assessment, and requested decision.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The current queue remains accountable until an accepting escalation owner is recorded.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Related items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KI-1042, KI-1047, KI-1051, and KI-1054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— peer review required before publication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State the service impact in one sentence and calculate the remaining SLA time from first support receipt.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Check prior duplicate tickets and the four active known issues before opening a new escalation thread.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Choose the escalation lane: incident coordination, identity and access, product defect, or support operations.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Notify the lane with a short evidence bundle and an explicit question or decision request.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Update the customer-facing ticket at least once before the SLA deadline, even when the technical investigation continues.</w:t>
      </w:r>
    </w:p>
    <w:p>
      <w:pPr>
        <w:pStyle w:val="Heading1"/>
      </w:pPr>
      <w:r>
        <w:t>Decision notes</w:t>
      </w:r>
    </w:p>
    <w:p>
      <w:pPr>
        <w:spacing w:after="120"/>
      </w:pPr>
      <w:r>
        <w:rPr>
          <w:rFonts w:ascii="Calibri" w:hAnsi="Calibri"/>
          <w:b/>
          <w:color w:val="7A5A00"/>
          <w:sz w:val="22"/>
        </w:rPr>
        <w:t xml:space="preserve">Guardrail: </w:t>
      </w:r>
      <w:r>
        <w:rPr>
          <w:rFonts w:ascii="Calibri" w:hAnsi="Calibri"/>
          <w:sz w:val="22"/>
        </w:rPr>
        <w:t>Use only sanitized evidence. Preserve the current owner until a receiving role explicitly accepts accountability.</w:t>
      </w:r>
    </w:p>
    <w:p>
      <w:pPr>
        <w:pStyle w:val="Heading1"/>
      </w:pPr>
      <w:r>
        <w:t>Troubleshooting and closure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No accepting 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Escalate to Support Operations; retain ticket ownership and document the attempt.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KI-1051 match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Use the documented workaround and request product confirmation if behavior differs.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Customer asks for an ETA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Share the next update time, not an unverified resolution promise.</w:t>
            </w:r>
          </w:p>
        </w:tc>
      </w:tr>
    </w:tbl>
    <w:p>
      <w:pPr>
        <w:pStyle w:val="Heading1"/>
      </w:pPr>
      <w:r>
        <w:t>Draft review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Article ID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KB-SLA-03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/ internal review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Support Knowledge Council (synthetic)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Publish gate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Content accuracy, privacy check, and operational sign-off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Cross-reference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article-metadata.json; publishing-workflow.yaml; draft-review-register.csv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Internal draft | Synthetic training content |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HelioDesk Knowledge Base | Draft KB-SLA-03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