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Impact Analysis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Impact Analysis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p02-full-006222 / source p02-src-006222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Impact Analysis Review Document Docx, evidence docket p02-src-006222 / p02-full-006222 uses p02-full-000986 to assess the Postmortem Impact operational component as a decision memo, keeping its service context separate from the recorded Checkout cause, with a specific lens on threshold timing and alert handoff. The review method is to test whether the metric table supports the stated action owner. The evidence is scoped to documents/operations/postmortems, framed by inc.inc-260713, rel.recurrence.2026-q2,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Impact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Impact Analysis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a0a6930007655e9a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Impact Analysis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Impact review outcome without changing the fixed incident causality; apply the threshold timing and alert handoff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Postmortem Impact Analysis Review Document Docx. Scope-local spine bindings: org.ntc, inc.inc-260713, rel.recurrence.2026-q2, date.2026-07-20, term.no-kio-claim. Evidence fingerprint: a0a6930007655e9a.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