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Postmortem Root Cause Review Document Docx</w:t>
      </w:r>
    </w:p>
    <w:p>
      <w:pPr>
        <w:spacing w:after="40"/>
      </w:pPr>
      <w:r>
        <w:rPr>
          <w:b/>
        </w:rPr>
        <w:t xml:space="preserve">To: </w:t>
      </w:r>
      <w:r>
        <w:t>Incident Review Board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Postmortem Root Cause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p02-full-004823 / source p02-src-004823 / scope p02-primary-02.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Postmortem Root Cause Review Document Docx, evidence docket p02-src-004823 / p02-full-004823 uses p02-full-001529 to assess the Postmortem Root Cause operational component as a decision memo, keeping its service context separate from the recorded Checkout cause, with a specific lens on critical-path chronology and action ownership. The review method is to review the owner action before accepting a metric conclusion. The evidence is scoped to documents/operations/postmortems, framed by problem.prb-260713-009, rel.recurrence.2026-q2, period.2026-q3, and evaluated to keep the impact window distinct from the resolution time.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Postmortem Root Cause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Postmortem Root Cause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ddc34dd1aa3a13a1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Q3 Postmortem Root Cause Review Document Docx cites the current p02-full-001529 hash before distribution.</w:t>
      </w:r>
    </w:p>
    <w:p>
      <w:pPr>
        <w:pStyle w:val="ListNumber"/>
        <w:numPr>
          <w:ilvl w:val="0"/>
          <w:numId w:val="10"/>
        </w:numPr>
      </w:pPr>
      <w:r>
        <w:t>Incident Review Board and Platform Reliability: record the Postmortem Root Cause review outcome without changing the fixed incident causality; apply the critical-path chronology and action ownership lens and retain the row-specific scope documents/operations/postmortems in the review record.</w:t>
      </w:r>
    </w:p>
    <w:p>
      <w:pPr>
        <w:pStyle w:val="ListNumber"/>
        <w:numPr>
          <w:ilvl w:val="0"/>
          <w:numId w:val="10"/>
        </w:numPr>
      </w:pPr>
      <w:r>
        <w:t>Platform Reliability: keep the impact window distinct from the resolution time; review the owner action before accepting a metric conclusion;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p02-full-001529</w:t>
        <w:br/>
        <w:t>Source ID: p02-src-001529</w:t>
        <w:br/>
        <w:t>Planned path: documents/operations/postmortems/evidence/metrics/2026-07-20-postmortem-identity-cache-metrics-csv-s001529.csv</w:t>
        <w:br/>
        <w:t>SHA-256: sha256:01b865cdd4f83d4e8801f92baf0833dbb6cc3a88b0d8aea5098ba07992bc0524</w:t>
        <w:br/>
        <w:t>Approved exact facts: Northstar Transit Cloud; Checkout SVC-17; 2026-07-13; error budget 2.4%; INC-260713; org.ntc; inc.inc-260628; rel.recurrence.2026-q2; date.2026-07-20; term.no-kio-claim; 286; 10:42</w:t>
      </w:r>
    </w:p>
    <w:p>
      <w:pPr>
        <w:pStyle w:val="Heading2"/>
      </w:pPr>
      <w:r>
        <w:t>Artifact-specific evidence</w:t>
      </w:r>
    </w:p>
    <w:p>
      <w:r>
        <w:t>This memo covers 2026 Q3 Postmortem Root Cause Review Document Docx. Scope-local spine bindings: org.ntc, problem.prb-260713-009, rel.recurrence.2026-q2, period.2026-q3, term.no-kio-claim. Evidence fingerprint: ddc34dd1aa3a13a1.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