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00000"/>
          <w:sz w:val="46"/>
        </w:rPr>
        <w:t>RELIABILITY REVIEW MEMO</w:t>
      </w:r>
    </w:p>
    <w:p>
      <w:pPr>
        <w:spacing w:after="320"/>
      </w:pPr>
      <w:r>
        <w:rPr>
          <w:i/>
          <w:sz w:val="28"/>
        </w:rPr>
        <w:t>2026 07 14 Reliability Reference Service Ownership Review Document Docx</w:t>
      </w:r>
    </w:p>
    <w:p>
      <w:pPr>
        <w:spacing w:after="40"/>
      </w:pPr>
      <w:r>
        <w:rPr>
          <w:b/>
        </w:rPr>
        <w:t xml:space="preserve">To: </w:t>
      </w:r>
      <w:r>
        <w:t>Reliability Reference Maintainers</w:t>
      </w:r>
    </w:p>
    <w:p>
      <w:pPr>
        <w:spacing w:after="40"/>
      </w:pPr>
      <w:r>
        <w:rPr>
          <w:b/>
        </w:rPr>
        <w:t xml:space="preserve">From: </w:t>
      </w:r>
      <w:r>
        <w:t>Checkout Operations | Synthetic SRE workstation</w:t>
      </w:r>
    </w:p>
    <w:p>
      <w:pPr>
        <w:spacing w:after="40"/>
      </w:pPr>
      <w:r>
        <w:rPr>
          <w:b/>
        </w:rPr>
        <w:t xml:space="preserve">Date: </w:t>
      </w:r>
      <w:r>
        <w:t>2026-07-14</w:t>
      </w:r>
    </w:p>
    <w:p>
      <w:pPr>
        <w:spacing w:after="40"/>
      </w:pPr>
      <w:r>
        <w:rPr>
          <w:b/>
        </w:rPr>
        <w:t xml:space="preserve">Re: </w:t>
      </w:r>
      <w:r>
        <w:t>2026 07 14 Reliability Reference Service Ownership Review Document Docx | Checkout SVC-17 / INC-260713</w:t>
      </w:r>
    </w:p>
    <w:p>
      <w:pPr>
        <w:spacing w:after="40"/>
      </w:pPr>
      <w:r>
        <w:rPr>
          <w:b/>
        </w:rPr>
        <w:t xml:space="preserve">Status: </w:t>
      </w:r>
      <w:r>
        <w:t>Decision review</w:t>
      </w:r>
    </w:p>
    <w:p>
      <w:pPr>
        <w:spacing w:after="160"/>
        <w:pBdr>
          <w:bottom w:val="single" w:sz="12" w:space="1" w:color="2E74B5"/>
        </w:pBdr>
      </w:pPr>
    </w:p>
    <w:p>
      <w:pPr>
        <w:pStyle w:val="Heading1"/>
      </w:pPr>
      <w:r>
        <w:t>Incident facts</w:t>
      </w:r>
    </w:p>
    <w:p>
      <w:r>
        <w:t>Northstar Transit Cloud | Checkout SVC-17 | incident INC-260713 | 2026-07-13</w:t>
        <w:br/>
        <w:t>Checkout availability SLO: 99.95% over 30d; latency SLO: 99.0% below 400 ms. Remaining request-error allowance: error budget 2.4%.</w:t>
        <w:br/>
        <w:t>Timeline: deployment 09:18 UTC; Q-07 warning 12,000 at 09:42; S2 09:47; rate limit 09:54; rollback approval 10:02; concurrency 10:11; Q-07 below 8,000/recovery 10:24; impact end 10:31; resolution 10:42 UTC; capacity headroom 31%.</w:t>
        <w:br/>
        <w:t>Artifact p02-full-002878 / source p02-src-002878 / scope p02-secondary-02. Synthetic training record; no customer data, credentials, secrets, or Kio claims.</w:t>
      </w:r>
    </w:p>
    <w:p>
      <w:pPr>
        <w:pStyle w:val="Heading2"/>
      </w:pPr>
      <w:r>
        <w:t>Review storyline</w:t>
      </w:r>
    </w:p>
    <w:p>
      <w:r>
        <w:t>For 2026 07 14 Reliability Reference Service Ownership Review Document Docx, evidence docket p02-src-002878 / p02-full-002878 uses p02-full-009216 to assess the Ownership operational component as a decision memo, keeping its service context separate from the recorded Checkout cause, with a specific lens on SLO interpretation and request-error allowance. The review method is to reconcile source completeness before approving the closure statement. The evidence is scoped to documents/reference, framed by term.burn-rate, rel.slo.2026-q3, date.2026-07-14, and evaluated to treat a threshold crossing as a decision input, not a cause.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Metric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Observed value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Component under review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Ownership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Checkout availability SLO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99.95% over 30d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Error budget remaining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2.4% request-error allowance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Review subject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2026 07 14 Reliability Reference Service Ownership Review Document Docx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Record fingerprint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f53d263befeb0af1</w:t>
            </w:r>
          </w:p>
        </w:tc>
      </w:tr>
    </w:tbl>
    <w:p>
      <w:pPr>
        <w:pStyle w:val="Heading2"/>
      </w:pPr>
      <w:r>
        <w:t>Decision review actions</w:t>
      </w:r>
    </w:p>
    <w:p>
      <w:pPr>
        <w:pStyle w:val="ListNumber"/>
        <w:numPr>
          <w:ilvl w:val="0"/>
          <w:numId w:val="10"/>
        </w:numPr>
      </w:pPr>
      <w:r>
        <w:t>Checkout Operations: confirm that 2026 07 14 Reliability Reference Service Ownership Review Document Docx cites the current p02-full-009216 hash before distribution.</w:t>
      </w:r>
    </w:p>
    <w:p>
      <w:pPr>
        <w:pStyle w:val="ListNumber"/>
        <w:numPr>
          <w:ilvl w:val="0"/>
          <w:numId w:val="10"/>
        </w:numPr>
      </w:pPr>
      <w:r>
        <w:t>Reliability Reference Maintainers: record the Ownership review outcome without changing the fixed incident causality; apply the SLO interpretation and request-error allowance lens and retain the row-specific scope documents/reference in the review record.</w:t>
      </w:r>
    </w:p>
    <w:p>
      <w:pPr>
        <w:pStyle w:val="ListNumber"/>
        <w:numPr>
          <w:ilvl w:val="0"/>
          <w:numId w:val="10"/>
        </w:numPr>
      </w:pPr>
      <w:r>
        <w:t>Platform Reliability: treat a threshold crossing as a decision input, not a cause; reconcile source completeness before approving the closure statement; preserve the causal chain from removed queue-pressure guardrail through demand exceeding consumer concurrency and retry amplification to Q-07 and Checkout latency and failures; record Identity as load-degraded only, never the initiating cause.</w:t>
      </w:r>
    </w:p>
    <w:p>
      <w:pPr>
        <w:pStyle w:val="Heading2"/>
      </w:pPr>
      <w:r>
        <w:t>Accepted foundation citation</w:t>
      </w:r>
    </w:p>
    <w:p>
      <w:pPr>
        <w:spacing w:before="80" w:after="160"/>
      </w:pPr>
      <w:r>
        <w:t>Scope-local accepted foundation binding (consumed by this artifact):</w:t>
        <w:br/>
        <w:t>Artifact ID: p02-full-009216</w:t>
        <w:br/>
        <w:t>Source ID: p02-src-009216</w:t>
        <w:br/>
        <w:t>Planned path: documents/reference/schemas/2026-07-14-reliability-reference-burn-rate-metrics-csv-s009216.csv</w:t>
        <w:br/>
        <w:t>SHA-256: sha256:362ba7ebbf1e829ece08017250a72ca7dbf4aa0e3c443180e12e81f6a98bf81f</w:t>
        <w:br/>
        <w:t>Approved exact facts: Northstar Transit Cloud; Checkout SVC-17; 2026-07-13; error budget 2.4%; INC-260713; org.ntc; slo.checkout.availability; rel.slo.2026-q3; date.2026-07-14; term.no-kio-claim; 10:42</w:t>
      </w:r>
    </w:p>
    <w:p>
      <w:pPr>
        <w:pStyle w:val="Heading2"/>
      </w:pPr>
      <w:r>
        <w:t>Artifact-specific evidence</w:t>
      </w:r>
    </w:p>
    <w:p>
      <w:r>
        <w:t>This memo covers 2026 07 14 Reliability Reference Service Ownership Review Document Docx. Scope-local spine bindings: org.ntc, term.burn-rate, rel.slo.2026-q3, date.2026-07-14, term.no-kio-claim. Evidence fingerprint: f53d263befeb0af1. The cited foundation above is the sole declared factual input for this row.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Synthetic operational reference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Northstar Transit Cloud | Platform Reliability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