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Kubernetes Production Disruption Budget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Kubernetes Production Disruption Budget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p02-full-002923 / source p02-src-002923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Kubernetes Production Disruption Budget Review Document Docx, evidence docket p02-src-002923 / p02-full-002923 uses p02-full-001901 to assess the Production Disruption Budget operational component as a decision memo, keeping its service context separate from the recorded Checkout cause, with a specific lens on review-readiness and closure criteria. The review method is to pair the decision timestamp with its accountable reviewer. The evidence is scoped to infrastructure/kubernetes, framed by svc.identity.svc23, rel.topology.260713,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Production Disruption Budget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Kubernetes Production Disruption Budget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2f35d72f28a483a3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15 Kubernetes Production Disruption Budget Review Document Docx cites the current p02-full-001901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Production Disruption Budget review outcome without changing the fixed incident causality; apply the review-readiness and closure criteria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p02-full-001901</w:t>
        <w:br/>
        <w:t>Source ID: p02-src-001901</w:t>
        <w:br/>
        <w:t>Planned path: infrastructure/kubernetes/services/data/2026-07-14-kubernetes-production-node-affinity-metrics-csv-s001901.csv</w:t>
        <w:br/>
        <w:t>SHA-256: sha256:b505b4589249beb88180bcbdf88473c637244a208ba78d984d5a2791071de110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Kubernetes Production Disruption Budget Review Document Docx. Scope-local spine bindings: org.ntc, svc.identity.svc23, rel.topology.260713, date.2026-07-15, term.no-kio-claim. Evidence fingerprint: 2f35d72f28a483a3.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