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Meeting Change Readiness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Operations Meeting Change Readiness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p02-full-004021 / source p02-src-004021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Meeting Change Readiness Review Document Docx, evidence docket p02-src-004021 / p02-full-004021 uses p02-full-002228 to assess the Meeting Change Readiness operational component as a decision memo, keeping its service context separate from the recorded Checkout cause, with a specific lens on critical-path chronology and action ownership. The review method is to test the declared scope boundary before interpreting a service signal. The evidence is scoped to meetings/operations, framed by inc.inc-260713, rel.slo.2026-q3, period.2026-q3,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Change Readiness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Meeting Change Readiness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bd37887c8c689dd1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Meeting Change Readiness Review Document Docx cites the current p02-full-002228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Change Readiness review outcome without changing the fixed incident causality; apply the critical-path chronology and action ownership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p02-full-002228</w:t>
        <w:br/>
        <w:t>Source ID: p02-src-002228</w:t>
        <w:br/>
        <w:t>Planned path: meetings/operations/2026/q3/source-data/2026-07-20-operations-meeting-action-status-metrics-tsv-s002228.tsv</w:t>
        <w:br/>
        <w:t>SHA-256: sha256:04583c22d4f5c5e272bdf69bd3ba83df16b7ec5b5342b864a7d5bd7608d997d7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Meeting Change Readiness Review Document Docx. Scope-local spine bindings: org.ntc, inc.inc-260713, rel.slo.2026-q3, period.2026-q3, term.no-kio-claim. Evidence fingerprint: bd37887c8c689dd1.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