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000000"/>
          <w:sz w:val="46"/>
        </w:rPr>
        <w:t>RELIABILITY REVIEW MEMO</w:t>
      </w:r>
    </w:p>
    <w:p>
      <w:pPr>
        <w:spacing w:after="320"/>
      </w:pPr>
      <w:r>
        <w:rPr>
          <w:i/>
          <w:sz w:val="28"/>
        </w:rPr>
        <w:t>2026 07 13 Checkout Oncall Impact Window Review Document Docx</w:t>
      </w:r>
    </w:p>
    <w:p>
      <w:pPr>
        <w:spacing w:after="40"/>
      </w:pPr>
      <w:r>
        <w:rPr>
          <w:b/>
        </w:rPr>
        <w:t xml:space="preserve">To: </w:t>
      </w:r>
      <w:r>
        <w:t>Checkout On-Call and Platform Reliability</w:t>
      </w:r>
    </w:p>
    <w:p>
      <w:pPr>
        <w:spacing w:after="40"/>
      </w:pPr>
      <w:r>
        <w:rPr>
          <w:b/>
        </w:rPr>
        <w:t xml:space="preserve">From: </w:t>
      </w:r>
      <w:r>
        <w:t>Checkout Operations | Synthetic SRE workstation</w:t>
      </w:r>
    </w:p>
    <w:p>
      <w:pPr>
        <w:spacing w:after="40"/>
      </w:pPr>
      <w:r>
        <w:rPr>
          <w:b/>
        </w:rPr>
        <w:t xml:space="preserve">Date: </w:t>
      </w:r>
      <w:r>
        <w:t>2026-07-13</w:t>
      </w:r>
    </w:p>
    <w:p>
      <w:pPr>
        <w:spacing w:after="40"/>
      </w:pPr>
      <w:r>
        <w:rPr>
          <w:b/>
        </w:rPr>
        <w:t xml:space="preserve">Re: </w:t>
      </w:r>
      <w:r>
        <w:t>2026 07 13 Checkout Oncall Impact Window Review Document Docx | Checkout SVC-17 / INC-260713</w:t>
      </w:r>
    </w:p>
    <w:p>
      <w:pPr>
        <w:spacing w:after="40"/>
      </w:pPr>
      <w:r>
        <w:rPr>
          <w:b/>
        </w:rPr>
        <w:t xml:space="preserve">Status: </w:t>
      </w:r>
      <w:r>
        <w:t>Evidence reconciliation</w:t>
      </w:r>
    </w:p>
    <w:p>
      <w:pPr>
        <w:spacing w:after="160"/>
        <w:pBdr>
          <w:bottom w:val="single" w:sz="12" w:space="1" w:color="2E74B5"/>
        </w:pBdr>
      </w:pPr>
    </w:p>
    <w:p>
      <w:pPr>
        <w:pStyle w:val="Heading1"/>
      </w:pPr>
      <w:r>
        <w:t>Incident facts</w:t>
      </w:r>
    </w:p>
    <w:p>
      <w:r>
        <w:t>Northstar Transit Cloud | Checkout SVC-17 | incident INC-260713 | 2026-07-13</w:t>
        <w:br/>
        <w:t>Checkout availability SLO: 99.95% over 30d; latency SLO: 99.0% below 400 ms. Remaining request-error allowance: error budget 2.4%.</w:t>
        <w:br/>
        <w:t>Timeline: deployment 09:18 UTC; Q-07 warning 12,000 at 09:42; S2 09:47; rate limit 09:54; rollback approval 10:02; concurrency 10:11; Q-07 below 8,000/recovery 10:24; impact end 10:31; resolution 10:42 UTC; capacity headroom 31%.</w:t>
        <w:br/>
        <w:t>Artifact p02-full-014422 / source p02-src-014422 / scope p02-primary-05. Synthetic training record; no customer data, credentials, secrets, or Kio claims.</w:t>
      </w:r>
    </w:p>
    <w:p>
      <w:pPr>
        <w:pStyle w:val="Heading2"/>
      </w:pPr>
      <w:r>
        <w:t>Review storyline</w:t>
      </w:r>
    </w:p>
    <w:p>
      <w:r>
        <w:t>For 2026 07 13 Checkout Oncall Impact Window Review Document Docx, evidence docket p02-src-014422 / p02-full-014422 uses p02-full-000330 to assess the Checkout Impact Window operational component as a decision memo, keeping its service context separate from the recorded Checkout cause, with a specific lens on critical-path chronology and action ownership. The review method is to treat the component-specific control as a follow-up, not a cause. The evidence is scoped to services/checkout/prod/oncall/operations, framed by inc.inc-260713, rel.oncall.2026-07-13, date.2026-07-13, and evaluated to preserve the stated service ownership.</w:t>
      </w:r>
    </w:p>
    <w:tbl>
      <w:tblPr>
        <w:tblStyle w:val="TableGrid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Metric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Observed value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Component under review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Checkout Impact Window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Checkout availability SLO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99.95% over 30d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Error budget remaining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2.4% request-error allowance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Review subject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2026 07 13 Checkout Oncall Impact Window Review Document Docx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Record fingerprint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dd2a9bab5f3cc730</w:t>
            </w:r>
          </w:p>
        </w:tc>
      </w:tr>
    </w:tbl>
    <w:p>
      <w:pPr>
        <w:pStyle w:val="Heading2"/>
      </w:pPr>
      <w:r>
        <w:t>Evidence reconciliation actions</w:t>
      </w:r>
    </w:p>
    <w:p>
      <w:pPr>
        <w:pStyle w:val="ListNumber"/>
        <w:numPr>
          <w:ilvl w:val="0"/>
          <w:numId w:val="10"/>
        </w:numPr>
      </w:pPr>
      <w:r>
        <w:t>Checkout Operations: confirm that 2026 07 13 Checkout Oncall Impact Window Review Document Docx cites the current p02-full-000330 hash before distribution.</w:t>
      </w:r>
    </w:p>
    <w:p>
      <w:pPr>
        <w:pStyle w:val="ListNumber"/>
        <w:numPr>
          <w:ilvl w:val="0"/>
          <w:numId w:val="10"/>
        </w:numPr>
      </w:pPr>
      <w:r>
        <w:t>Checkout On-Call and Platform Reliability: record the Checkout Impact Window review outcome without changing the fixed incident causality; apply the critical-path chronology and action ownership lens and retain the row-specific scope services/checkout/prod/oncall/operations in the review record.</w:t>
      </w:r>
    </w:p>
    <w:p>
      <w:pPr>
        <w:pStyle w:val="ListNumber"/>
        <w:numPr>
          <w:ilvl w:val="0"/>
          <w:numId w:val="10"/>
        </w:numPr>
      </w:pPr>
      <w:r>
        <w:t>Platform Reliability: preserve the stated service ownership; treat the component-specific control as a follow-up, not a cause; preserve the causal chain from removed queue-pressure guardrail through demand exceeding consumer concurrency and retry amplification to Q-07 and Checkout latency and failures; record Identity as load-degraded only, never the initiating cause.</w:t>
      </w:r>
    </w:p>
    <w:p>
      <w:pPr>
        <w:pStyle w:val="Heading2"/>
      </w:pPr>
      <w:r>
        <w:t>Accepted foundation citation</w:t>
      </w:r>
    </w:p>
    <w:p>
      <w:pPr>
        <w:spacing w:before="80" w:after="160"/>
      </w:pPr>
      <w:r>
        <w:t>Scope-local accepted foundation binding (consumed by this artifact):</w:t>
        <w:br/>
        <w:t>Artifact ID: p02-full-000330</w:t>
        <w:br/>
        <w:t>Source ID: p02-src-000330</w:t>
        <w:br/>
        <w:t>Planned path: services/checkout/prod/oncall/operations/metrics/2026-07-15-checkout-oncall-database-failover-facts-yaml-s000330.yaml</w:t>
        <w:br/>
        <w:t>SHA-256: sha256:ec069f2b0191ca6157cadabaafeb4c6b9719009c1a2b3d454d8a92fe6b34fb87</w:t>
        <w:br/>
        <w:t>Approved exact facts: Northstar Transit Cloud; Checkout SVC-17; 2026-07-13; error budget 2.4%; INC-260713; org.ntc; svc.checkout.svc17; rel.oncall.2026-07-13; date.2026-07-15; term.no-kio-claim</w:t>
      </w:r>
    </w:p>
    <w:p>
      <w:pPr>
        <w:pStyle w:val="Heading2"/>
      </w:pPr>
      <w:r>
        <w:t>Artifact-specific evidence</w:t>
      </w:r>
    </w:p>
    <w:p>
      <w:r>
        <w:t>This memo covers 2026 07 13 Checkout Oncall Impact Window Review Document Docx. Scope-local spine bindings: org.ntc, inc.inc-260713, rel.oncall.2026-07-13, date.2026-07-13, term.no-kio-claim. Evidence fingerprint: dd2a9bab5f3cc730. The cited foundation above is the sole declared factual input for this row.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>Synthetic operational reference | No Kio claim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8"/>
      </w:rPr>
      <w:t>Northstar Transit Cloud | Platform Reliability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