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360"/>
      </w:pPr>
      <w:r>
        <w:t>Product Beta R4 API contract API-B4-4051</w:t>
      </w:r>
    </w:p>
    <w:p>
      <w:r>
        <w:t>Schema freeze: 2026-09-04</w:t>
      </w:r>
    </w:p>
    <w:p>
      <w:pPr>
        <w:pStyle w:val="Heading1"/>
      </w:pPr>
      <w:r>
        <w:t>Contract summary</w:t>
      </w:r>
    </w:p>
    <w:p>
      <w:r>
        <w:t>Subject: contract-registry through svc-contract-registry</w:t>
      </w:r>
    </w:p>
    <w:p>
      <w:r>
        <w:t>Contract reconciliation: 1,240 total tests; 1,231 pass; 9 fail; 99.27% pass rate.</w:t>
      </w:r>
    </w:p>
    <w:p>
      <w:r>
        <w:t>Artifact p01-full-004051 is a synthetic Aster Loop engineering record.</w:t>
      </w:r>
    </w:p>
    <w:p>
      <w:r>
        <w:t>Compatibility: preserve unknown optional fields; publish only after the registry records the freeze decision.</w:t>
      </w:r>
    </w:p>
    <w:sectPr w:rsidR="00FC693F" w:rsidRPr="0006063C" w:rsidSect="00034616">
      <w:pgSz w:w="12240" w:h="15840"/>
      <w:pgMar w:top="158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