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INTERFACE COMPATIBILITY BRIEF</w:t>
      </w:r>
    </w:p>
    <w:p>
      <w:pPr>
        <w:spacing w:after="280"/>
      </w:pPr>
      <w:r>
        <w:rPr>
          <w:rFonts w:ascii="Calibri" w:hAnsi="Calibri"/>
          <w:b w:val="0"/>
          <w:color w:val="5B6573"/>
          <w:sz w:val="26"/>
        </w:rPr>
        <w:t>Product Beta R4 | API gateway request normalization</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p01-full-000788</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p01-src-000788</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p01-full-001183 at repos/product-beta/docs/beta-r4-docs-yaml-src-001183.yaml</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api gateway request normalization. Confirm request envelopes before the 225 ms design-latency budget is assessed.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p01-full-001183.</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p01-full-000788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