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0B2545"/>
          <w:sz w:val="44"/>
        </w:rPr>
        <w:t>IMPLEMENTATION REVIEW BRIEF</w:t>
      </w:r>
    </w:p>
    <w:p>
      <w:pPr>
        <w:spacing w:after="280"/>
      </w:pPr>
      <w:r>
        <w:rPr>
          <w:rFonts w:ascii="Calibri" w:hAnsi="Calibri"/>
          <w:b w:val="0"/>
          <w:color w:val="5B6573"/>
          <w:sz w:val="26"/>
        </w:rPr>
        <w:t>Product Beta R4 | Event payload versioning</w:t>
      </w:r>
    </w:p>
    <w:tbl>
      <w:tblPr>
        <w:tblW w:type="dxa" w:w="9360"/>
        <w:tblLook w:firstColumn="1" w:firstRow="1" w:lastColumn="0" w:lastRow="0" w:noHBand="0" w:noVBand="1" w:val="04A0"/>
        <w:tblInd w:w="120" w:type="dxa"/>
      </w:tblPr>
      <w:tblGrid>
        <w:gridCol w:w="2700"/>
        <w:gridCol w:w="6660"/>
      </w:tblGrid>
      <w:tr>
        <w:tc>
          <w:tcPr>
            <w:tcW w:type="dxa" w:w="2700"/>
            <w:tcMar>
              <w:top w:w="80" w:type="dxa"/>
              <w:start w:w="120" w:type="dxa"/>
              <w:bottom w:w="80" w:type="dxa"/>
              <w:end w:w="120" w:type="dxa"/>
            </w:tcMar>
            <w:vAlign w:val="center"/>
            <w:shd w:fill="E8EEF5"/>
          </w:tcPr>
          <w:p>
            <w:pPr>
              <w:spacing w:after="0"/>
            </w:pPr>
            <w:r>
              <w:rPr>
                <w:rFonts w:ascii="Calibri" w:hAnsi="Calibri"/>
                <w:b/>
                <w:color w:val="1F4D78"/>
                <w:sz w:val="19"/>
              </w:rPr>
              <w:t>Record</w:t>
            </w:r>
          </w:p>
        </w:tc>
        <w:tc>
          <w:tcPr>
            <w:tcW w:type="dxa" w:w="6660"/>
            <w:tcMar>
              <w:top w:w="80" w:type="dxa"/>
              <w:start w:w="120" w:type="dxa"/>
              <w:bottom w:w="80" w:type="dxa"/>
              <w:end w:w="120" w:type="dxa"/>
            </w:tcMar>
            <w:vAlign w:val="center"/>
          </w:tcPr>
          <w:p>
            <w:pPr>
              <w:spacing w:after="0"/>
            </w:pPr>
            <w:r>
              <w:rPr>
                <w:rFonts w:ascii="Calibri" w:hAnsi="Calibri"/>
                <w:b w:val="0"/>
                <w:color w:val="000000"/>
                <w:sz w:val="19"/>
              </w:rPr>
              <w:t>p01-full-006913</w:t>
            </w:r>
          </w:p>
        </w:tc>
      </w:tr>
      <w:tr>
        <w:tc>
          <w:tcPr>
            <w:tcW w:type="dxa" w:w="2700"/>
            <w:tcMar>
              <w:top w:w="80" w:type="dxa"/>
              <w:start w:w="120" w:type="dxa"/>
              <w:bottom w:w="80" w:type="dxa"/>
              <w:end w:w="120" w:type="dxa"/>
            </w:tcMar>
            <w:vAlign w:val="center"/>
            <w:shd w:fill="E8EEF5"/>
          </w:tcPr>
          <w:p>
            <w:pPr>
              <w:spacing w:after="0"/>
            </w:pPr>
            <w:r>
              <w:rPr>
                <w:rFonts w:ascii="Calibri" w:hAnsi="Calibri"/>
                <w:b/>
                <w:color w:val="1F4D78"/>
                <w:sz w:val="19"/>
              </w:rPr>
              <w:t>Canonical source</w:t>
            </w:r>
          </w:p>
        </w:tc>
        <w:tc>
          <w:tcPr>
            <w:tcW w:type="dxa" w:w="6660"/>
            <w:tcMar>
              <w:top w:w="80" w:type="dxa"/>
              <w:start w:w="120" w:type="dxa"/>
              <w:bottom w:w="80" w:type="dxa"/>
              <w:end w:w="120" w:type="dxa"/>
            </w:tcMar>
            <w:vAlign w:val="center"/>
          </w:tcPr>
          <w:p>
            <w:pPr>
              <w:spacing w:after="0"/>
            </w:pPr>
            <w:r>
              <w:rPr>
                <w:rFonts w:ascii="Calibri" w:hAnsi="Calibri"/>
                <w:b w:val="0"/>
                <w:color w:val="000000"/>
                <w:sz w:val="19"/>
              </w:rPr>
              <w:t>p01-src-006913</w:t>
            </w:r>
          </w:p>
        </w:tc>
      </w:tr>
      <w:tr>
        <w:tc>
          <w:tcPr>
            <w:tcW w:type="dxa" w:w="2700"/>
            <w:tcMar>
              <w:top w:w="80" w:type="dxa"/>
              <w:start w:w="120" w:type="dxa"/>
              <w:bottom w:w="80" w:type="dxa"/>
              <w:end w:w="120" w:type="dxa"/>
            </w:tcMar>
            <w:vAlign w:val="center"/>
            <w:shd w:fill="E8EEF5"/>
          </w:tcPr>
          <w:p>
            <w:pPr>
              <w:spacing w:after="0"/>
            </w:pPr>
            <w:r>
              <w:rPr>
                <w:rFonts w:ascii="Calibri" w:hAnsi="Calibri"/>
                <w:b/>
                <w:color w:val="1F4D78"/>
                <w:sz w:val="19"/>
              </w:rPr>
              <w:t>Dependency input</w:t>
            </w:r>
          </w:p>
        </w:tc>
        <w:tc>
          <w:tcPr>
            <w:tcW w:type="dxa" w:w="6660"/>
            <w:tcMar>
              <w:top w:w="80" w:type="dxa"/>
              <w:start w:w="120" w:type="dxa"/>
              <w:bottom w:w="80" w:type="dxa"/>
              <w:end w:w="120" w:type="dxa"/>
            </w:tcMar>
            <w:vAlign w:val="center"/>
          </w:tcPr>
          <w:p>
            <w:pPr>
              <w:spacing w:after="0"/>
            </w:pPr>
            <w:r>
              <w:rPr>
                <w:rFonts w:ascii="Calibri" w:hAnsi="Calibri"/>
                <w:b w:val="0"/>
                <w:color w:val="000000"/>
                <w:sz w:val="19"/>
              </w:rPr>
              <w:t>p01-full-002253 at repos/product-beta/docs/beta-r4-docs-json-src-002253.json</w:t>
            </w:r>
          </w:p>
        </w:tc>
      </w:tr>
      <w:tr>
        <w:tc>
          <w:tcPr>
            <w:tcW w:type="dxa" w:w="2700"/>
            <w:tcMar>
              <w:top w:w="80" w:type="dxa"/>
              <w:start w:w="120" w:type="dxa"/>
              <w:bottom w:w="80" w:type="dxa"/>
              <w:end w:w="120" w:type="dxa"/>
            </w:tcMar>
            <w:vAlign w:val="center"/>
            <w:shd w:fill="E8EEF5"/>
          </w:tcPr>
          <w:p>
            <w:pPr>
              <w:spacing w:after="0"/>
            </w:pPr>
            <w:r>
              <w:rPr>
                <w:rFonts w:ascii="Calibri" w:hAnsi="Calibri"/>
                <w:b/>
                <w:color w:val="1F4D78"/>
                <w:sz w:val="19"/>
              </w:rPr>
              <w:t>Review window</w:t>
            </w:r>
          </w:p>
        </w:tc>
        <w:tc>
          <w:tcPr>
            <w:tcW w:type="dxa" w:w="6660"/>
            <w:tcMar>
              <w:top w:w="80" w:type="dxa"/>
              <w:start w:w="120" w:type="dxa"/>
              <w:bottom w:w="80" w:type="dxa"/>
              <w:end w:w="120" w:type="dxa"/>
            </w:tcMar>
            <w:vAlign w:val="center"/>
          </w:tcPr>
          <w:p>
            <w:pPr>
              <w:spacing w:after="0"/>
            </w:pPr>
            <w:r>
              <w:rPr>
                <w:rFonts w:ascii="Calibri" w:hAnsi="Calibri"/>
                <w:b w:val="0"/>
                <w:color w:val="000000"/>
                <w:sz w:val="19"/>
              </w:rPr>
              <w:t>Architecture 2026-08-17 | schema freeze 2026-09-04 | target release 2026-09-28</w:t>
            </w:r>
          </w:p>
        </w:tc>
      </w:tr>
    </w:tbl>
    <w:p>
      <w:pPr>
        <w:pStyle w:val="Heading1"/>
      </w:pPr>
      <w:r>
        <w:t>Purpose</w:t>
      </w:r>
    </w:p>
    <w:p>
      <w:r>
        <w:rPr>
          <w:rFonts w:ascii="Calibri" w:hAnsi="Calibri"/>
          <w:b w:val="0"/>
          <w:color w:val="000000"/>
          <w:sz w:val="22"/>
        </w:rPr>
        <w:t>This practical review brief supports a bounded Product Beta R4 engineering decision for event payload versioning. Verify terminology, counts, units, and milestone dates before release preparation. It is a synthetic repository artifact and does not represent production telemetry, customer records, or credentials.</w:t>
      </w:r>
    </w:p>
    <w:p>
      <w:pPr>
        <w:pStyle w:val="Heading1"/>
      </w:pPr>
      <w:r>
        <w:t>Review controls</w:t>
      </w:r>
    </w:p>
    <w:tbl>
      <w:tblPr>
        <w:tblW w:type="dxa" w:w="9360"/>
        <w:tblLook w:firstColumn="1" w:firstRow="1" w:lastColumn="0" w:lastRow="0" w:noHBand="0" w:noVBand="1" w:val="04A0"/>
        <w:tblInd w:w="120" w:type="dxa"/>
      </w:tblPr>
      <w:tblGrid>
        <w:gridCol w:w="2700"/>
        <w:gridCol w:w="6660"/>
      </w:tblGrid>
      <w:tr>
        <w:tc>
          <w:tcPr>
            <w:tcW w:type="dxa" w:w="2700"/>
            <w:tcMar>
              <w:top w:w="80" w:type="dxa"/>
              <w:start w:w="120" w:type="dxa"/>
              <w:bottom w:w="80" w:type="dxa"/>
              <w:end w:w="120" w:type="dxa"/>
            </w:tcMar>
            <w:vAlign w:val="center"/>
            <w:shd w:fill="F2F4F7"/>
          </w:tcPr>
          <w:p>
            <w:r>
              <w:rPr>
                <w:rFonts w:ascii="Calibri" w:hAnsi="Calibri"/>
                <w:b/>
                <w:color w:val="1F4D78"/>
                <w:sz w:val="19"/>
              </w:rPr>
              <w:t>Control</w:t>
            </w:r>
          </w:p>
        </w:tc>
        <w:tc>
          <w:tcPr>
            <w:tcW w:type="dxa" w:w="6660"/>
            <w:tcMar>
              <w:top w:w="80" w:type="dxa"/>
              <w:start w:w="120" w:type="dxa"/>
              <w:bottom w:w="80" w:type="dxa"/>
              <w:end w:w="120" w:type="dxa"/>
            </w:tcMar>
            <w:vAlign w:val="center"/>
            <w:shd w:fill="F2F4F7"/>
          </w:tcPr>
          <w:p>
            <w:r>
              <w:rPr>
                <w:rFonts w:ascii="Calibri" w:hAnsi="Calibri"/>
                <w:b/>
                <w:color w:val="1F4D78"/>
                <w:sz w:val="19"/>
              </w:rPr>
              <w:t>Application to this review</w:t>
            </w:r>
          </w:p>
        </w:tc>
      </w:tr>
      <w:tr>
        <w:tc>
          <w:tcPr>
            <w:tcW w:type="dxa" w:w="2700"/>
            <w:shd w:fill="E8EEF5"/>
          </w:tcPr>
          <w:p>
            <w:r>
              <w:rPr>
                <w:rFonts w:ascii="Calibri" w:hAnsi="Calibri"/>
                <w:b/>
                <w:color w:val="1F4D78"/>
                <w:sz w:val="19"/>
              </w:rPr>
              <w:t>Latency target</w:t>
            </w:r>
          </w:p>
        </w:tc>
        <w:tc>
          <w:tcPr>
            <w:tcW w:type="dxa" w:w="6660"/>
          </w:tcPr>
          <w:p>
            <w:r>
              <w:rPr>
                <w:rFonts w:ascii="Calibri" w:hAnsi="Calibri"/>
                <w:b w:val="0"/>
                <w:color w:val="000000"/>
                <w:sz w:val="19"/>
              </w:rPr>
              <w:t>225 ms is a design target only; it is not reported as an observed service result.</w:t>
            </w:r>
          </w:p>
        </w:tc>
      </w:tr>
      <w:tr>
        <w:tc>
          <w:tcPr>
            <w:tcW w:type="dxa" w:w="2700"/>
            <w:shd w:fill="E8EEF5"/>
          </w:tcPr>
          <w:p>
            <w:r>
              <w:rPr>
                <w:rFonts w:ascii="Calibri" w:hAnsi="Calibri"/>
                <w:b/>
                <w:color w:val="1F4D78"/>
                <w:sz w:val="19"/>
              </w:rPr>
              <w:t>Contract baseline</w:t>
            </w:r>
          </w:p>
        </w:tc>
        <w:tc>
          <w:tcPr>
            <w:tcW w:type="dxa" w:w="6660"/>
          </w:tcPr>
          <w:p>
            <w:r>
              <w:rPr>
                <w:rFonts w:ascii="Calibri" w:hAnsi="Calibri"/>
                <w:b w:val="0"/>
                <w:color w:val="000000"/>
                <w:sz w:val="19"/>
              </w:rPr>
              <w:t>Use 1,240 tests: 1,231 passing and 9 failing, or 99.27% rounded, solely as the stated review baseline.</w:t>
            </w:r>
          </w:p>
        </w:tc>
      </w:tr>
      <w:tr>
        <w:tc>
          <w:tcPr>
            <w:tcW w:type="dxa" w:w="2700"/>
            <w:shd w:fill="E8EEF5"/>
          </w:tcPr>
          <w:p>
            <w:r>
              <w:rPr>
                <w:rFonts w:ascii="Calibri" w:hAnsi="Calibri"/>
                <w:b/>
                <w:color w:val="1F4D78"/>
                <w:sz w:val="19"/>
              </w:rPr>
              <w:t>Release rule</w:t>
            </w:r>
          </w:p>
        </w:tc>
        <w:tc>
          <w:tcPr>
            <w:tcW w:type="dxa" w:w="6660"/>
          </w:tcPr>
          <w:p>
            <w:r>
              <w:rPr>
                <w:rFonts w:ascii="Calibri" w:hAnsi="Calibri"/>
                <w:b w:val="0"/>
                <w:color w:val="000000"/>
                <w:sz w:val="19"/>
              </w:rPr>
              <w:t>Persist the gate decision before downstream event delivery.</w:t>
            </w:r>
          </w:p>
        </w:tc>
      </w:tr>
      <w:tr>
        <w:tc>
          <w:tcPr>
            <w:tcW w:type="dxa" w:w="2700"/>
            <w:shd w:fill="E8EEF5"/>
          </w:tcPr>
          <w:p>
            <w:r>
              <w:rPr>
                <w:rFonts w:ascii="Calibri" w:hAnsi="Calibri"/>
                <w:b/>
                <w:color w:val="1F4D78"/>
                <w:sz w:val="19"/>
              </w:rPr>
              <w:t>Traceability</w:t>
            </w:r>
          </w:p>
        </w:tc>
        <w:tc>
          <w:tcPr>
            <w:tcW w:type="dxa" w:w="6660"/>
          </w:tcPr>
          <w:p>
            <w:r>
              <w:rPr>
                <w:rFonts w:ascii="Calibri" w:hAnsi="Calibri"/>
                <w:b w:val="0"/>
                <w:color w:val="000000"/>
                <w:sz w:val="19"/>
              </w:rPr>
              <w:t>Read the dependency as the typed source of record: p01-full-002253.</w:t>
            </w:r>
          </w:p>
        </w:tc>
      </w:tr>
    </w:tbl>
    <w:p>
      <w:pPr>
        <w:pStyle w:val="Heading1"/>
      </w:pPr>
      <w:r>
        <w:t>Decision handoff</w:t>
      </w:r>
    </w:p>
    <w:p>
      <w:r>
        <w:rPr>
          <w:rFonts w:ascii="Calibri" w:hAnsi="Calibri"/>
          <w:b w:val="0"/>
          <w:color w:val="000000"/>
          <w:sz w:val="22"/>
        </w:rPr>
        <w:t>The reviewer should confirm the dependency identifier and path, verify that the stated terminology and measures match the repository source, and record the gate outcome before any downstream delivery action. This preserves a single cross-format relationship between structured facts and the human-readable brief.</w:t>
      </w:r>
    </w:p>
    <w:p>
      <w:pPr>
        <w:pStyle w:val="Heading1"/>
      </w:pPr>
      <w:r>
        <w:t>Acceptance statement</w:t>
      </w:r>
    </w:p>
    <w:p>
      <w:r>
        <w:rPr>
          <w:rFonts w:ascii="Calibri" w:hAnsi="Calibri"/>
          <w:b w:val="0"/>
          <w:color w:val="000000"/>
          <w:sz w:val="22"/>
        </w:rPr>
        <w:t>Prepared for the Product Beta R4 repository scope. The record p01-full-006913 is intentionally limited to the dependency and controls listed above; it adds no alternate project truth.</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color w:val="5B6573"/>
        <w:sz w:val="16"/>
      </w:rPr>
      <w:t>Synthetic engineering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color w:val="5B6573"/>
        <w:sz w:val="16"/>
      </w:rPr>
      <w:t>Aster Loop Product Engineering | Product Beta R4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