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3456"/>
        </w:rPr>
        <w:t>CR-B4-011853 Review Evidence Brief</w:t>
      </w:r>
    </w:p>
    <w:p>
      <w:r>
        <w:t>Product Beta R4 · synthetic code review · 400-minute portfolio measure</w:t>
      </w:r>
    </w:p>
    <w:p>
      <w:pPr>
        <w:pStyle w:val="Heading1"/>
      </w:pPr>
      <w:r>
        <w:t>Decision context</w:t>
      </w:r>
    </w:p>
    <w:p>
      <w:r>
        <w:t>This review records error boundary propagation for svc-event-bus. The evidence uses role labels and synthetic records only; it preserves the asynchronous release-gate terminology and separates post-decision delivery from the measured path.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Review field</w:t>
            </w:r>
          </w:p>
        </w:tc>
        <w:tc>
          <w:tcPr>
            <w:tcW w:type="dxa" w:w="4968"/>
          </w:tcPr>
          <w:p>
            <w:r>
              <w:t>Recorded evidence</w:t>
            </w:r>
          </w:p>
        </w:tc>
      </w:tr>
      <w:tr>
        <w:tc>
          <w:tcPr>
            <w:tcW w:type="dxa" w:w="4968"/>
          </w:tcPr>
          <w:p>
            <w:r>
              <w:t>Review ID</w:t>
            </w:r>
          </w:p>
        </w:tc>
        <w:tc>
          <w:tcPr>
            <w:tcW w:type="dxa" w:w="4968"/>
          </w:tcPr>
          <w:p>
            <w:r>
              <w:t>CR-B4-011853</w:t>
            </w:r>
          </w:p>
        </w:tc>
      </w:tr>
      <w:tr>
        <w:tc>
          <w:tcPr>
            <w:tcW w:type="dxa" w:w="4968"/>
          </w:tcPr>
          <w:p>
            <w:r>
              <w:t>Service</w:t>
            </w:r>
          </w:p>
        </w:tc>
        <w:tc>
          <w:tcPr>
            <w:tcW w:type="dxa" w:w="4968"/>
          </w:tcPr>
          <w:p>
            <w:r>
              <w:t>svc-event-bus</w:t>
            </w:r>
          </w:p>
        </w:tc>
      </w:tr>
      <w:tr>
        <w:tc>
          <w:tcPr>
            <w:tcW w:type="dxa" w:w="4968"/>
          </w:tcPr>
          <w:p>
            <w:r>
              <w:t>Disposition</w:t>
            </w:r>
          </w:p>
        </w:tc>
        <w:tc>
          <w:tcPr>
            <w:tcW w:type="dxa" w:w="4968"/>
          </w:tcPr>
          <w:p>
            <w:r>
              <w:t>approved with evidence note</w:t>
            </w:r>
          </w:p>
        </w:tc>
      </w:tr>
      <w:tr>
        <w:tc>
          <w:tcPr>
            <w:tcW w:type="dxa" w:w="4968"/>
          </w:tcPr>
          <w:p>
            <w:r>
              <w:t>Review elapsed</w:t>
            </w:r>
          </w:p>
        </w:tc>
        <w:tc>
          <w:tcPr>
            <w:tcW w:type="dxa" w:w="4968"/>
          </w:tcPr>
          <w:p>
            <w:r>
              <w:t>400 minutes</w:t>
            </w:r>
          </w:p>
        </w:tc>
      </w:tr>
      <w:tr>
        <w:tc>
          <w:tcPr>
            <w:tcW w:type="dxa" w:w="4968"/>
          </w:tcPr>
          <w:p>
            <w:r>
              <w:t>Check set</w:t>
            </w:r>
          </w:p>
        </w:tc>
        <w:tc>
          <w:tcPr>
            <w:tcW w:type="dxa" w:w="4968"/>
          </w:tcPr>
          <w:p>
            <w:r>
              <w:t>35 executed; 33 passed</w:t>
            </w:r>
          </w:p>
        </w:tc>
      </w:tr>
    </w:tbl>
    <w:p>
      <w:pPr>
        <w:pStyle w:val="Heading1"/>
      </w:pPr>
      <w:r>
        <w:t>Reviewer observations</w:t>
      </w:r>
    </w:p>
    <w:p>
      <w:pPr>
        <w:pStyle w:val="ListBullet"/>
      </w:pPr>
      <w:r>
        <w:t>Typed review evidence remains adjacent to the decision record.</w:t>
      </w:r>
    </w:p>
    <w:p>
      <w:pPr>
        <w:pStyle w:val="ListBullet"/>
      </w:pPr>
      <w:r>
        <w:t>The approval boundary is a workflow transition, not a network boundary.</w:t>
      </w:r>
    </w:p>
    <w:p>
      <w:pPr>
        <w:pStyle w:val="ListBullet"/>
      </w:pPr>
      <w:r>
        <w:t>A role-owned follow-up is recorded without personal identifiers.</w:t>
      </w:r>
    </w:p>
    <w:p>
      <w:pPr>
        <w:pStyle w:val="Caption"/>
      </w:pPr>
      <w:r>
        <w:t>Aster Loop株式会社 · Product Engineering · synthetic internal artifact</w:t>
      </w:r>
    </w:p>
    <w:sectPr w:rsidR="00FC693F" w:rsidRPr="0006063C" w:rsidSect="00034616"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