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Northstar Transit Cloud | Site Reliability Engineering</w:t>
      </w:r>
    </w:p>
    <w:p>
      <w:pPr>
        <w:pStyle w:val="Title"/>
      </w:pPr>
      <w:r>
        <w:t xml:space="preserve">POSTMORTEM</w:t>
      </w:r>
    </w:p>
    <w:p>
      <w:pPr>
        <w:pStyle w:val="Subtitle"/>
      </w:pPr>
      <w:r>
        <w:t xml:space="preserve">Metrics pipeline: delayed alert evaluation</w:t>
      </w:r>
    </w:p>
    <w:p>
      <w:pPr>
        <w:pStyle w:val="Normal"/>
      </w:pPr>
      <w:r>
        <w:t xml:space="preserve">Incident: INC-260407</w:t>
      </w:r>
    </w:p>
    <w:p>
      <w:pPr>
        <w:pStyle w:val="Normal"/>
      </w:pPr>
      <w:r>
        <w:t xml:space="preserve">Date: 2026-04-07</w:t>
      </w:r>
    </w:p>
    <w:p>
      <w:pPr>
        <w:pStyle w:val="Normal"/>
      </w:pPr>
      <w:r>
        <w:t xml:space="preserve">Severity: SEV-3</w:t>
      </w:r>
    </w:p>
    <w:p>
      <w:pPr>
        <w:pStyle w:val="Normal"/>
      </w:pPr>
      <w:r>
        <w:t xml:space="preserve">Service area: Metrics pipeline</w:t>
      </w:r>
    </w:p>
    <w:p>
      <w:pPr>
        <w:pStyle w:val="Normal"/>
      </w:pPr>
      <w:r>
        <w:t xml:space="preserve">Status: Closed; actions tracked</w:t>
      </w:r>
    </w:p>
    <w:p>
      <w:pPr>
        <w:pStyle w:val="Normal"/>
      </w:pPr>
      <w:r>
        <w:t xml:space="preserve"/>
      </w:r>
    </w:p>
    <w:p>
      <w:pPr>
        <w:pStyle w:val="Heading1"/>
      </w:pPr>
      <w:r>
        <w:t xml:space="preserve">Executive summary</w:t>
      </w:r>
    </w:p>
    <w:p>
      <w:pPr>
        <w:pStyle w:val="Normal"/>
      </w:pPr>
      <w:r>
        <w:t xml:space="preserve">A compaction backlog delayed metric ingestion and alert evaluation. Operators used service logs and synthetic probes while the backlog was drained.</w:t>
      </w:r>
    </w:p>
    <w:p>
      <w:pPr>
        <w:pStyle w:val="Heading1"/>
      </w:pPr>
      <w:r>
        <w:t xml:space="preserve">Impact and detection</w:t>
      </w:r>
    </w:p>
    <w:p>
      <w:pPr>
        <w:pStyle w:val="Normal"/>
      </w:pPr>
      <w:r>
        <w:t xml:space="preserve">52 minutes of delayed telemetry; customer-facing services remained available, but three alerts evaluated late. Incident response used alternate indicators.</w:t>
      </w:r>
    </w:p>
    <w:p>
      <w:pPr>
        <w:pStyle w:val="Normal"/>
      </w:pPr>
      <w:r>
        <w:t xml:space="preserve">Detection combined service-level error and latency signals with operator verification; the incident commander used the incident channel and append-only timeline as the decision record.</w:t>
      </w:r>
    </w:p>
    <w:p>
      <w:pPr>
        <w:pStyle w:val="Heading1"/>
      </w:pPr>
      <w:r>
        <w:t xml:space="preserve">What happened</w:t>
      </w:r>
    </w:p>
    <w:p>
      <w:pPr>
        <w:pStyle w:val="Normal"/>
      </w:pPr>
      <w:r>
        <w:t xml:space="preserve">The team contained customer impact first, then validated the rollback or corrective control against live error and queue indicators. Mitigation was declared only after two consecutive observation windows remained within objective.</w:t>
      </w:r>
    </w:p>
    <w:p>
      <w:pPr>
        <w:pStyle w:val="Heading2"/>
      </w:pPr>
      <w:r>
        <w:t xml:space="preserve">Timeline (UTC)</w:t>
      </w:r>
    </w:p>
    <w:tbl>
      <w:tblPr>
        <w:tblW w:w="9360" w:type="dxa"/>
        <w:tblInd w:w="120" w:type="dxa"/>
        <w:tblLayout w:type="fixed"/>
        <w:tblBorders>
          <w:top w:val="single" w:sz="4" w:color="B8C2CC"/>
          <w:left w:val="single" w:sz="4" w:color="B8C2CC"/>
          <w:bottom w:val="single" w:sz="4" w:color="B8C2CC"/>
          <w:right w:val="single" w:sz="4" w:color="B8C2CC"/>
          <w:insideH w:val="single" w:sz="4" w:color="D9E0E7"/>
          <w:insideV w:val="single" w:sz="4" w:color="D9E0E7"/>
        </w:tblBorders>
      </w:tblPr>
      <w:tblGrid>
        <w:gridCol w:w="1500"/>
        <w:gridCol w:w="7860"/>
      </w:tblGrid>
      <w:tr>
        <w:tc>
          <w:tcPr>
            <w:tcW w:w="1500" w:type="dxa"/>
            <w:shd w:fill="F2F4F7"/>
            <w:tcMar>
              <w:top w:w="80" w:type="dxa"/>
              <w:bottom w:w="80" w:type="dxa"/>
              <w:start w:w="120" w:type="dxa"/>
              <w:end w:w="120" w:type="dxa"/>
            </w:tcMar>
          </w:tcPr>
          <w:p>
            <w:pPr>
              <w:pStyle w:val="Normal"/>
            </w:pPr>
            <w:r>
              <w:rPr>
                <w:b/>
              </w:rPr>
              <w:t>Time</w:t>
            </w:r>
          </w:p>
        </w:tc>
        <w:tc>
          <w:tcPr>
            <w:tcW w:w="7860" w:type="dxa"/>
            <w:shd w:fill="F2F4F7"/>
            <w:tcMar>
              <w:top w:w="80" w:type="dxa"/>
              <w:bottom w:w="80" w:type="dxa"/>
              <w:start w:w="120" w:type="dxa"/>
              <w:end w:w="120" w:type="dxa"/>
            </w:tcMar>
          </w:tcPr>
          <w:p>
            <w:pPr>
              <w:pStyle w:val="Normal"/>
            </w:pPr>
            <w:r>
              <w:rPr>
                <w:b/>
              </w:rPr>
              <w:t>Operational decision</w:t>
            </w:r>
          </w:p>
        </w:tc>
      </w:tr>
      <w:tr>
        <w:tc>
          <w:tcPr>
            <w:tcW w:w="1500" w:type="dxa"/>
            <w:tcMar>
              <w:top w:w="80" w:type="dxa"/>
              <w:bottom w:w="80" w:type="dxa"/>
              <w:start w:w="120" w:type="dxa"/>
              <w:end w:w="120" w:type="dxa"/>
            </w:tcMar>
          </w:tcPr>
          <w:p>
            <w:pPr>
              <w:pStyle w:val="Normal"/>
            </w:pPr>
            <w:r>
              <w:t>18:20</w:t>
            </w:r>
          </w:p>
        </w:tc>
        <w:tc>
          <w:tcPr>
            <w:tcW w:w="7860" w:type="dxa"/>
            <w:tcMar>
              <w:top w:w="80" w:type="dxa"/>
              <w:bottom w:w="80" w:type="dxa"/>
              <w:start w:w="120" w:type="dxa"/>
              <w:end w:w="120" w:type="dxa"/>
            </w:tcMar>
          </w:tcPr>
          <w:p>
            <w:pPr>
              <w:pStyle w:val="Normal"/>
            </w:pPr>
            <w:r>
              <w:t>Telemetry freshness alert triggered.</w:t>
            </w:r>
          </w:p>
        </w:tc>
      </w:tr>
      <w:tr>
        <w:tc>
          <w:tcPr>
            <w:tcW w:w="1500" w:type="dxa"/>
            <w:tcMar>
              <w:top w:w="80" w:type="dxa"/>
              <w:bottom w:w="80" w:type="dxa"/>
              <w:start w:w="120" w:type="dxa"/>
              <w:end w:w="120" w:type="dxa"/>
            </w:tcMar>
          </w:tcPr>
          <w:p>
            <w:pPr>
              <w:pStyle w:val="Normal"/>
            </w:pPr>
            <w:r>
              <w:t>18:34</w:t>
            </w:r>
          </w:p>
        </w:tc>
        <w:tc>
          <w:tcPr>
            <w:tcW w:w="7860" w:type="dxa"/>
            <w:tcMar>
              <w:top w:w="80" w:type="dxa"/>
              <w:bottom w:w="80" w:type="dxa"/>
              <w:start w:w="120" w:type="dxa"/>
              <w:end w:w="120" w:type="dxa"/>
            </w:tcMar>
          </w:tcPr>
          <w:p>
            <w:pPr>
              <w:pStyle w:val="Normal"/>
            </w:pPr>
            <w:r>
              <w:t>Compaction concurrency restored.</w:t>
            </w:r>
          </w:p>
        </w:tc>
      </w:tr>
      <w:tr>
        <w:tc>
          <w:tcPr>
            <w:tcW w:w="1500" w:type="dxa"/>
            <w:tcMar>
              <w:top w:w="80" w:type="dxa"/>
              <w:bottom w:w="80" w:type="dxa"/>
              <w:start w:w="120" w:type="dxa"/>
              <w:end w:w="120" w:type="dxa"/>
            </w:tcMar>
          </w:tcPr>
          <w:p>
            <w:pPr>
              <w:pStyle w:val="Normal"/>
            </w:pPr>
            <w:r>
              <w:t>18:57</w:t>
            </w:r>
          </w:p>
        </w:tc>
        <w:tc>
          <w:tcPr>
            <w:tcW w:w="7860" w:type="dxa"/>
            <w:tcMar>
              <w:top w:w="80" w:type="dxa"/>
              <w:bottom w:w="80" w:type="dxa"/>
              <w:start w:w="120" w:type="dxa"/>
              <w:end w:w="120" w:type="dxa"/>
            </w:tcMar>
          </w:tcPr>
          <w:p>
            <w:pPr>
              <w:pStyle w:val="Normal"/>
            </w:pPr>
            <w:r>
              <w:t>Backlog reached normal operating band.</w:t>
            </w:r>
          </w:p>
        </w:tc>
      </w:tr>
      <w:tr>
        <w:tc>
          <w:tcPr>
            <w:tcW w:w="1500" w:type="dxa"/>
            <w:tcMar>
              <w:top w:w="80" w:type="dxa"/>
              <w:bottom w:w="80" w:type="dxa"/>
              <w:start w:w="120" w:type="dxa"/>
              <w:end w:w="120" w:type="dxa"/>
            </w:tcMar>
          </w:tcPr>
          <w:p>
            <w:pPr>
              <w:pStyle w:val="Normal"/>
            </w:pPr>
            <w:r>
              <w:t>19:12</w:t>
            </w:r>
          </w:p>
        </w:tc>
        <w:tc>
          <w:tcPr>
            <w:tcW w:w="7860" w:type="dxa"/>
            <w:tcMar>
              <w:top w:w="80" w:type="dxa"/>
              <w:bottom w:w="80" w:type="dxa"/>
              <w:start w:w="120" w:type="dxa"/>
              <w:end w:w="120" w:type="dxa"/>
            </w:tcMar>
          </w:tcPr>
          <w:p>
            <w:pPr>
              <w:pStyle w:val="Normal"/>
            </w:pPr>
            <w:r>
              <w:t>Alert evaluation caught up.</w:t>
            </w:r>
          </w:p>
        </w:tc>
      </w:tr>
    </w:tbl>
    <w:p>
      <w:pPr>
        <w:pStyle w:val="Heading1"/>
      </w:pPr>
      <w:r>
        <w:t xml:space="preserve">Contributing conditions</w:t>
      </w:r>
    </w:p>
    <w:p>
      <w:pPr>
        <w:pStyle w:val="Normal"/>
        <w:numPr>
          <w:ilvl w:val="0"/>
          <w:numId w:val="1"/>
        </w:numPr>
      </w:pPr>
      <w:r>
        <w:t>The release or maintenance change did not model the relevant rebound or fanout condition.</w:t>
      </w:r>
    </w:p>
    <w:p>
      <w:pPr>
        <w:pStyle w:val="Normal"/>
        <w:numPr>
          <w:ilvl w:val="0"/>
          <w:numId w:val="1"/>
        </w:numPr>
      </w:pPr>
      <w:r>
        <w:t>Alerting detected the service symptom promptly, but the leading configuration signal was not directly observable.</w:t>
      </w:r>
    </w:p>
    <w:p>
      <w:pPr>
        <w:pStyle w:val="Normal"/>
        <w:numPr>
          <w:ilvl w:val="0"/>
          <w:numId w:val="1"/>
        </w:numPr>
      </w:pPr>
      <w:r>
        <w:t>Runbook steps were sufficient to restore service; follow-up work will make the safe path easier to verify.</w:t>
      </w:r>
    </w:p>
    <w:p>
      <w:pPr>
        <w:pStyle w:val="Heading1"/>
      </w:pPr>
      <w:r>
        <w:t xml:space="preserve">Root cause</w:t>
      </w:r>
    </w:p>
    <w:p>
      <w:pPr>
        <w:pStyle w:val="Normal"/>
      </w:pPr>
      <w:r>
        <w:t xml:space="preserve">Compaction concurrency was reduced during a storage maintenance window without an ingestion-rate guardrail.</w:t>
      </w:r>
    </w:p>
    <w:p>
      <w:pPr>
        <w:pStyle w:val="Heading1"/>
      </w:pPr>
      <w:r>
        <w:t xml:space="preserve">Corrective action plan</w:t>
      </w:r>
    </w:p>
    <w:p>
      <w:pPr>
        <w:pStyle w:val="Normal"/>
      </w:pPr>
      <w:r>
        <w:t xml:space="preserve">Actions are owned in the synthetic postmortem register. Due dates are review targets; completion requires evidence from a rehearsal, release check, or observed control.</w:t>
      </w:r>
    </w:p>
    <w:p>
      <w:pPr>
        <w:pStyle w:val="Normal"/>
        <w:numPr>
          <w:ilvl w:val="0"/>
          <w:numId w:val="1"/>
        </w:numPr>
      </w:pPr>
      <w:r>
        <w:t>MET-207 — Add ingestion-rate guardrail | Owner: Observability | Review due: 2026-04-21</w:t>
      </w:r>
    </w:p>
    <w:p>
      <w:pPr>
        <w:pStyle w:val="Normal"/>
        <w:numPr>
          <w:ilvl w:val="0"/>
          <w:numId w:val="1"/>
        </w:numPr>
      </w:pPr>
      <w:r>
        <w:t>MET-214 — Document alternate signal procedure | Owner: SRE | Review due: 2026-04-18</w:t>
      </w:r>
    </w:p>
    <w:p>
      <w:pPr>
        <w:pStyle w:val="Normal"/>
        <w:numPr>
          <w:ilvl w:val="0"/>
          <w:numId w:val="1"/>
        </w:numPr>
      </w:pPr>
      <w:r>
        <w:t>MET-219 — Reserve maintenance capacity | Owner: Data Platform | Review due: 2026-05-01</w:t>
      </w:r>
    </w:p>
    <w:p>
      <w:pPr>
        <w:pStyle w:val="Heading1"/>
      </w:pPr>
      <w:r>
        <w:t xml:space="preserve">Learning and recurrence controls</w:t>
      </w:r>
    </w:p>
    <w:p>
      <w:pPr>
        <w:pStyle w:val="Normal"/>
      </w:pPr>
      <w:r>
        <w:t xml:space="preserve">This incident is reviewed alongside the Q2 recurrence analysis. INC-260407 contributes a concrete failure mode, not a broad service reliability conclusion. The shared corrective-actions status file is the current cross-incident view.</w:t>
      </w:r>
    </w:p>
    <w:p>
      <w:pPr>
        <w:pStyle w:val="Heading1"/>
      </w:pPr>
      <w:r>
        <w:t xml:space="preserve">Decision record</w:t>
      </w:r>
    </w:p>
    <w:p>
      <w:pPr>
        <w:pStyle w:val="Normal"/>
      </w:pPr>
      <w:r>
        <w:t xml:space="preserve">The incident commander closed the event after recovery indicators were stable and the primary follow-ups had named owners. This document contains only synthetic operational details.</w:t>
      </w:r>
    </w:p>
    <w:p>
      <w:pPr>
        <w:pStyle w:val="Normal"/>
      </w:pPr>
      <w:r>
        <w:t xml:space="preserve">Prepared by: Northstar Transit Cloud SRE on-call rotation | Review audience: service owners and reliability council</w:t>
      </w:r>
    </w:p>
    <w:sectPr>
      <w:pgSz w:w="12240" w:h="15840"/>
      <w:pgMar w:top="1440" w:right="1440" w:bottom="1440" w:left="1440" w:header="709" w:footer="709"/>
      <w:headerReference xmlns:r="http://schemas.openxmlformats.org/officeDocument/2006/relationships" w:type="default" r:id="rId1"/>
      <w:footerReference xmlns:r="http://schemas.openxmlformats.org/officeDocument/2006/relationships" w:type="default" r:id="rId2"/>
    </w:sectPr>
  </w:body>
</w:document>
</file>

<file path=word/footer1.xml><?xml version="1.0" encoding="utf-8"?>
<w:ftr xmlns:w="http://schemas.openxmlformats.org/wordprocessingml/2006/main">
  <w:p>
    <w:pPr>
      <w:jc w:val="right"/>
    </w:pPr>
    <w:r>
      <w:rPr>
        <w:color w:val="667788"/>
        <w:sz w:val="18"/>
      </w:rPr>
      <w:t>Internal synthetic operations record</w:t>
    </w:r>
  </w:p>
</w:ftr>
</file>

<file path=word/header1.xml><?xml version="1.0" encoding="utf-8"?>
<w:hdr xmlns:w="http://schemas.openxmlformats.org/wordprocessingml/2006/main">
  <w:p>
    <w:pPr>
      <w:jc w:val="left"/>
    </w:pPr>
    <w:r>
      <w:rPr>
        <w:color w:val="667788"/>
        <w:sz w:val="18"/>
      </w:rPr>
      <w:t>Northstar Transit Cloud | Reliability Postmortem</w:t>
    </w:r>
  </w:p>
</w:hdr>
</file>

<file path=word/numbering.xml><?xml version="1.0" encoding="utf-8"?>
<w:numbering xmlns:w="http://schemas.openxmlformats.org/wordprocessingml/2006/main">
  <w:abstractNum w:abstractNumId="0">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line="264" w:lineRule="auto"/>
    </w:pPr>
  </w:style>
  <w:style w:type="paragraph" w:styleId="Title">
    <w:name w:val="Title"/>
    <w:basedOn w:val="Normal"/>
    <w:pPr>
      <w:spacing w:after="80"/>
    </w:pPr>
    <w:rPr>
      <w:b/>
      <w:sz w:val="46"/>
      <w:color w:val="0B2545"/>
    </w:rPr>
  </w:style>
  <w:style w:type="paragraph" w:styleId="Subtitle">
    <w:name w:val="Subtitle"/>
    <w:basedOn w:val="Normal"/>
    <w:pPr>
      <w:spacing w:after="240"/>
    </w:pPr>
    <w:rPr>
      <w:sz w:val="28"/>
      <w:color w:val="555555"/>
    </w:rPr>
  </w:style>
  <w:style w:type="paragraph" w:styleId="Heading1">
    <w:name w:val="Heading 1"/>
    <w:basedOn w:val="Normal"/>
    <w:pPr>
      <w:spacing w:before="320" w:after="160"/>
      <w:outlineLvl w:val="0"/>
    </w:pPr>
    <w:rPr>
      <w:b/>
      <w:sz w:val="32"/>
      <w:color w:val="2E74B5"/>
    </w:rPr>
  </w:style>
  <w:style w:type="paragraph" w:styleId="Heading2">
    <w:name w:val="Heading 2"/>
    <w:basedOn w:val="Normal"/>
    <w:pPr>
      <w:spacing w:before="240" w:after="120"/>
      <w:outlineLvl w:val="1"/>
    </w:pPr>
    <w:rPr>
      <w:b/>
      <w:sz w:val="26"/>
      <w:color w:val="2E74B5"/>
    </w:rPr>
  </w:style>
</w:styles>
</file>

<file path=word/_rels/document.xml.rels><?xml version="1.0"?><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s>
</file>