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Northstar Transit Cloud | Site Reliability Engineering</w:t>
      </w:r>
    </w:p>
    <w:p>
      <w:pPr>
        <w:pStyle w:val="Title"/>
      </w:pPr>
      <w:r>
        <w:t xml:space="preserve">POSTMORTEM</w:t>
      </w:r>
    </w:p>
    <w:p>
      <w:pPr>
        <w:pStyle w:val="Subtitle"/>
      </w:pPr>
      <w:r>
        <w:t xml:space="preserve">Ingress DNS: regional answer imbalance</w:t>
      </w:r>
    </w:p>
    <w:p>
      <w:pPr>
        <w:pStyle w:val="Normal"/>
      </w:pPr>
      <w:r>
        <w:t xml:space="preserve">Incident: INC-260519</w:t>
      </w:r>
    </w:p>
    <w:p>
      <w:pPr>
        <w:pStyle w:val="Normal"/>
      </w:pPr>
      <w:r>
        <w:t xml:space="preserve">Date: 2026-05-19</w:t>
      </w:r>
    </w:p>
    <w:p>
      <w:pPr>
        <w:pStyle w:val="Normal"/>
      </w:pPr>
      <w:r>
        <w:t xml:space="preserve">Severity: SEV-3</w:t>
      </w:r>
    </w:p>
    <w:p>
      <w:pPr>
        <w:pStyle w:val="Normal"/>
      </w:pPr>
      <w:r>
        <w:t xml:space="preserve">Service area: Ingress DNS</w:t>
      </w:r>
    </w:p>
    <w:p>
      <w:pPr>
        <w:pStyle w:val="Normal"/>
      </w:pPr>
      <w:r>
        <w:t xml:space="preserve">Status: Closed; actions tracked</w:t>
      </w:r>
    </w:p>
    <w:p>
      <w:pPr>
        <w:pStyle w:val="Normal"/>
      </w:pPr>
      <w:r>
        <w:t xml:space="preserve"/>
      </w:r>
    </w:p>
    <w:p>
      <w:pPr>
        <w:pStyle w:val="Heading1"/>
      </w:pPr>
      <w:r>
        <w:t xml:space="preserve">Executive summary</w:t>
      </w:r>
    </w:p>
    <w:p>
      <w:pPr>
        <w:pStyle w:val="Normal"/>
      </w:pPr>
      <w:r>
        <w:t xml:space="preserve">A synthetic DNS publish omitted one regional weight during a routine ingress change. Affected requests concentrated in the remaining region until the previous answer set was restored.</w:t>
      </w:r>
    </w:p>
    <w:p>
      <w:pPr>
        <w:pStyle w:val="Heading1"/>
      </w:pPr>
      <w:r>
        <w:t xml:space="preserve">Impact and detection</w:t>
      </w:r>
    </w:p>
    <w:p>
      <w:pPr>
        <w:pStyle w:val="Normal"/>
      </w:pPr>
      <w:r>
        <w:t xml:space="preserve">41 minutes of uneven ingress utilization; 3.6% of requests experienced elevated connection setup time. No data-plane loss was confirmed.</w:t>
      </w:r>
    </w:p>
    <w:p>
      <w:pPr>
        <w:pStyle w:val="Normal"/>
      </w:pPr>
      <w:r>
        <w:t xml:space="preserve">Detection combined service-level error and latency signals with operator verification; the incident commander used the incident channel and append-only timeline as the decision record.</w:t>
      </w:r>
    </w:p>
    <w:p>
      <w:pPr>
        <w:pStyle w:val="Heading1"/>
      </w:pPr>
      <w:r>
        <w:t xml:space="preserve">What happened</w:t>
      </w:r>
    </w:p>
    <w:p>
      <w:pPr>
        <w:pStyle w:val="Normal"/>
      </w:pPr>
      <w:r>
        <w:t xml:space="preserve">The team contained customer impact first, then validated the rollback or corrective control against live error and queue indicators. Mitigation was declared only after two consecutive observation windows remained within objective.</w:t>
      </w:r>
    </w:p>
    <w:p>
      <w:pPr>
        <w:pStyle w:val="Heading2"/>
      </w:pPr>
      <w:r>
        <w:t xml:space="preserve">Timeline (UTC)</w:t>
      </w:r>
    </w:p>
    <w:tbl>
      <w:tblPr>
        <w:tblW w:w="9360" w:type="dxa"/>
        <w:tblInd w:w="120" w:type="dxa"/>
        <w:tblLayout w:type="fixed"/>
        <w:tblBorders>
          <w:top w:val="single" w:sz="4" w:color="B8C2CC"/>
          <w:left w:val="single" w:sz="4" w:color="B8C2CC"/>
          <w:bottom w:val="single" w:sz="4" w:color="B8C2CC"/>
          <w:right w:val="single" w:sz="4" w:color="B8C2CC"/>
          <w:insideH w:val="single" w:sz="4" w:color="D9E0E7"/>
          <w:insideV w:val="single" w:sz="4" w:color="D9E0E7"/>
        </w:tblBorders>
      </w:tblPr>
      <w:tblGrid>
        <w:gridCol w:w="1500"/>
        <w:gridCol w:w="7860"/>
      </w:tblGrid>
      <w:tr>
        <w:tc>
          <w:tcPr>
            <w:tcW w:w="1500" w:type="dxa"/>
            <w:shd w:fill="F2F4F7"/>
            <w:tcMar>
              <w:top w:w="80" w:type="dxa"/>
              <w:bottom w:w="80" w:type="dxa"/>
              <w:start w:w="120" w:type="dxa"/>
              <w:end w:w="120" w:type="dxa"/>
            </w:tcMar>
          </w:tcPr>
          <w:p>
            <w:pPr>
              <w:pStyle w:val="Normal"/>
            </w:pPr>
            <w:r>
              <w:rPr>
                <w:b/>
              </w:rPr>
              <w:t>Time</w:t>
            </w:r>
          </w:p>
        </w:tc>
        <w:tc>
          <w:tcPr>
            <w:tcW w:w="7860" w:type="dxa"/>
            <w:shd w:fill="F2F4F7"/>
            <w:tcMar>
              <w:top w:w="80" w:type="dxa"/>
              <w:bottom w:w="80" w:type="dxa"/>
              <w:start w:w="120" w:type="dxa"/>
              <w:end w:w="120" w:type="dxa"/>
            </w:tcMar>
          </w:tcPr>
          <w:p>
            <w:pPr>
              <w:pStyle w:val="Normal"/>
            </w:pPr>
            <w:r>
              <w:rPr>
                <w:b/>
              </w:rPr>
              <w:t>Operational decision</w:t>
            </w:r>
          </w:p>
        </w:tc>
      </w:tr>
      <w:tr>
        <w:tc>
          <w:tcPr>
            <w:tcW w:w="1500" w:type="dxa"/>
            <w:tcMar>
              <w:top w:w="80" w:type="dxa"/>
              <w:bottom w:w="80" w:type="dxa"/>
              <w:start w:w="120" w:type="dxa"/>
              <w:end w:w="120" w:type="dxa"/>
            </w:tcMar>
          </w:tcPr>
          <w:p>
            <w:pPr>
              <w:pStyle w:val="Normal"/>
            </w:pPr>
            <w:r>
              <w:t>07:41</w:t>
            </w:r>
          </w:p>
        </w:tc>
        <w:tc>
          <w:tcPr>
            <w:tcW w:w="7860" w:type="dxa"/>
            <w:tcMar>
              <w:top w:w="80" w:type="dxa"/>
              <w:bottom w:w="80" w:type="dxa"/>
              <w:start w:w="120" w:type="dxa"/>
              <w:end w:w="120" w:type="dxa"/>
            </w:tcMar>
          </w:tcPr>
          <w:p>
            <w:pPr>
              <w:pStyle w:val="Normal"/>
            </w:pPr>
            <w:r>
              <w:t>Ingress saturation alert fired.</w:t>
            </w:r>
          </w:p>
        </w:tc>
      </w:tr>
      <w:tr>
        <w:tc>
          <w:tcPr>
            <w:tcW w:w="1500" w:type="dxa"/>
            <w:tcMar>
              <w:top w:w="80" w:type="dxa"/>
              <w:bottom w:w="80" w:type="dxa"/>
              <w:start w:w="120" w:type="dxa"/>
              <w:end w:w="120" w:type="dxa"/>
            </w:tcMar>
          </w:tcPr>
          <w:p>
            <w:pPr>
              <w:pStyle w:val="Normal"/>
            </w:pPr>
            <w:r>
              <w:t>07:49</w:t>
            </w:r>
          </w:p>
        </w:tc>
        <w:tc>
          <w:tcPr>
            <w:tcW w:w="7860" w:type="dxa"/>
            <w:tcMar>
              <w:top w:w="80" w:type="dxa"/>
              <w:bottom w:w="80" w:type="dxa"/>
              <w:start w:w="120" w:type="dxa"/>
              <w:end w:w="120" w:type="dxa"/>
            </w:tcMar>
          </w:tcPr>
          <w:p>
            <w:pPr>
              <w:pStyle w:val="Normal"/>
            </w:pPr>
            <w:r>
              <w:t>DNS answer set compared with change record.</w:t>
            </w:r>
          </w:p>
        </w:tc>
      </w:tr>
      <w:tr>
        <w:tc>
          <w:tcPr>
            <w:tcW w:w="1500" w:type="dxa"/>
            <w:tcMar>
              <w:top w:w="80" w:type="dxa"/>
              <w:bottom w:w="80" w:type="dxa"/>
              <w:start w:w="120" w:type="dxa"/>
              <w:end w:w="120" w:type="dxa"/>
            </w:tcMar>
          </w:tcPr>
          <w:p>
            <w:pPr>
              <w:pStyle w:val="Normal"/>
            </w:pPr>
            <w:r>
              <w:t>08:07</w:t>
            </w:r>
          </w:p>
        </w:tc>
        <w:tc>
          <w:tcPr>
            <w:tcW w:w="7860" w:type="dxa"/>
            <w:tcMar>
              <w:top w:w="80" w:type="dxa"/>
              <w:bottom w:w="80" w:type="dxa"/>
              <w:start w:w="120" w:type="dxa"/>
              <w:end w:w="120" w:type="dxa"/>
            </w:tcMar>
          </w:tcPr>
          <w:p>
            <w:pPr>
              <w:pStyle w:val="Normal"/>
            </w:pPr>
            <w:r>
              <w:t>Prior weighted answer set restored.</w:t>
            </w:r>
          </w:p>
        </w:tc>
      </w:tr>
      <w:tr>
        <w:tc>
          <w:tcPr>
            <w:tcW w:w="1500" w:type="dxa"/>
            <w:tcMar>
              <w:top w:w="80" w:type="dxa"/>
              <w:bottom w:w="80" w:type="dxa"/>
              <w:start w:w="120" w:type="dxa"/>
              <w:end w:w="120" w:type="dxa"/>
            </w:tcMar>
          </w:tcPr>
          <w:p>
            <w:pPr>
              <w:pStyle w:val="Normal"/>
            </w:pPr>
            <w:r>
              <w:t>08:22</w:t>
            </w:r>
          </w:p>
        </w:tc>
        <w:tc>
          <w:tcPr>
            <w:tcW w:w="7860" w:type="dxa"/>
            <w:tcMar>
              <w:top w:w="80" w:type="dxa"/>
              <w:bottom w:w="80" w:type="dxa"/>
              <w:start w:w="120" w:type="dxa"/>
              <w:end w:w="120" w:type="dxa"/>
            </w:tcMar>
          </w:tcPr>
          <w:p>
            <w:pPr>
              <w:pStyle w:val="Normal"/>
            </w:pPr>
            <w:r>
              <w:t>Regional utilization normalized.</w:t>
            </w:r>
          </w:p>
        </w:tc>
      </w:tr>
    </w:tbl>
    <w:p>
      <w:pPr>
        <w:pStyle w:val="Heading1"/>
      </w:pPr>
      <w:r>
        <w:t xml:space="preserve">Contributing conditions</w:t>
      </w:r>
    </w:p>
    <w:p>
      <w:pPr>
        <w:pStyle w:val="Normal"/>
        <w:numPr>
          <w:ilvl w:val="0"/>
          <w:numId w:val="1"/>
        </w:numPr>
      </w:pPr>
      <w:r>
        <w:t>The release or maintenance change did not model the relevant rebound or fanout condition.</w:t>
      </w:r>
    </w:p>
    <w:p>
      <w:pPr>
        <w:pStyle w:val="Normal"/>
        <w:numPr>
          <w:ilvl w:val="0"/>
          <w:numId w:val="1"/>
        </w:numPr>
      </w:pPr>
      <w:r>
        <w:t>Alerting detected the service symptom promptly, but the leading configuration signal was not directly observable.</w:t>
      </w:r>
    </w:p>
    <w:p>
      <w:pPr>
        <w:pStyle w:val="Normal"/>
        <w:numPr>
          <w:ilvl w:val="0"/>
          <w:numId w:val="1"/>
        </w:numPr>
      </w:pPr>
      <w:r>
        <w:t>Runbook steps were sufficient to restore service; follow-up work will make the safe path easier to verify.</w:t>
      </w:r>
    </w:p>
    <w:p>
      <w:pPr>
        <w:pStyle w:val="Heading1"/>
      </w:pPr>
      <w:r>
        <w:t xml:space="preserve">Root cause</w:t>
      </w:r>
    </w:p>
    <w:p>
      <w:pPr>
        <w:pStyle w:val="Normal"/>
      </w:pPr>
      <w:r>
        <w:t xml:space="preserve">The publish validator accepted a partial answer set when an optional region label was absent.</w:t>
      </w:r>
    </w:p>
    <w:p>
      <w:pPr>
        <w:pStyle w:val="Heading1"/>
      </w:pPr>
      <w:r>
        <w:t xml:space="preserve">Corrective action plan</w:t>
      </w:r>
    </w:p>
    <w:p>
      <w:pPr>
        <w:pStyle w:val="Normal"/>
      </w:pPr>
      <w:r>
        <w:t xml:space="preserve">Actions are owned in the synthetic postmortem register. Due dates are review targets; completion requires evidence from a rehearsal, release check, or observed control.</w:t>
      </w:r>
    </w:p>
    <w:p>
      <w:pPr>
        <w:pStyle w:val="Normal"/>
        <w:numPr>
          <w:ilvl w:val="0"/>
          <w:numId w:val="1"/>
        </w:numPr>
      </w:pPr>
      <w:r>
        <w:t>NET-119 — Reject incomplete weighted answer sets | Owner: Network Reliability | Review due: 2026-06-05</w:t>
      </w:r>
    </w:p>
    <w:p>
      <w:pPr>
        <w:pStyle w:val="Normal"/>
        <w:numPr>
          <w:ilvl w:val="0"/>
          <w:numId w:val="1"/>
        </w:numPr>
      </w:pPr>
      <w:r>
        <w:t>NET-124 — Add publish diff review | Owner: Network Reliability | Review due: 2026-06-12</w:t>
      </w:r>
    </w:p>
    <w:p>
      <w:pPr>
        <w:pStyle w:val="Normal"/>
        <w:numPr>
          <w:ilvl w:val="0"/>
          <w:numId w:val="1"/>
        </w:numPr>
      </w:pPr>
      <w:r>
        <w:t>DRL-032 — Run regional imbalance drill | Owner: SRE | Review due: 2026-06-26</w:t>
      </w:r>
    </w:p>
    <w:p>
      <w:pPr>
        <w:pStyle w:val="Heading1"/>
      </w:pPr>
      <w:r>
        <w:t xml:space="preserve">Learning and recurrence controls</w:t>
      </w:r>
    </w:p>
    <w:p>
      <w:pPr>
        <w:pStyle w:val="Normal"/>
      </w:pPr>
      <w:r>
        <w:t xml:space="preserve">This incident is reviewed alongside the Q2 recurrence analysis. INC-260519 contributes a concrete failure mode, not a broad service reliability conclusion. The shared corrective-actions status file is the current cross-incident view.</w:t>
      </w:r>
    </w:p>
    <w:p>
      <w:pPr>
        <w:pStyle w:val="Heading1"/>
      </w:pPr>
      <w:r>
        <w:t xml:space="preserve">Decision record</w:t>
      </w:r>
    </w:p>
    <w:p>
      <w:pPr>
        <w:pStyle w:val="Normal"/>
      </w:pPr>
      <w:r>
        <w:t xml:space="preserve">The incident commander closed the event after recovery indicators were stable and the primary follow-ups had named owners. This document contains only synthetic operational details.</w:t>
      </w:r>
    </w:p>
    <w:p>
      <w:pPr>
        <w:pStyle w:val="Normal"/>
      </w:pPr>
      <w:r>
        <w:t xml:space="preserve">Prepared by: Northstar Transit Cloud SRE on-call rotation | Review audience: service owners and reliability council</w:t>
      </w:r>
    </w:p>
    <w:sectPr>
      <w:pgSz w:w="12240" w:h="15840"/>
      <w:pgMar w:top="1440" w:right="1440" w:bottom="1440" w:left="1440" w:header="709" w:footer="709"/>
      <w:headerReference xmlns:r="http://schemas.openxmlformats.org/officeDocument/2006/relationships" w:type="default" r:id="rId1"/>
      <w:footerReference xmlns:r="http://schemas.openxmlformats.org/officeDocument/2006/relationships" w:type="default" r:id="rId2"/>
    </w:sectPr>
  </w:body>
</w:document>
</file>

<file path=word/footer1.xml><?xml version="1.0" encoding="utf-8"?>
<w:ftr xmlns:w="http://schemas.openxmlformats.org/wordprocessingml/2006/main">
  <w:p>
    <w:pPr>
      <w:jc w:val="right"/>
    </w:pPr>
    <w:r>
      <w:rPr>
        <w:color w:val="667788"/>
        <w:sz w:val="18"/>
      </w:rPr>
      <w:t>Internal synthetic operations record</w:t>
    </w:r>
  </w:p>
</w:ftr>
</file>

<file path=word/header1.xml><?xml version="1.0" encoding="utf-8"?>
<w:hdr xmlns:w="http://schemas.openxmlformats.org/wordprocessingml/2006/main">
  <w:p>
    <w:pPr>
      <w:jc w:val="left"/>
    </w:pPr>
    <w:r>
      <w:rPr>
        <w:color w:val="667788"/>
        <w:sz w:val="18"/>
      </w:rPr>
      <w:t>Northstar Transit Cloud | Reliability Postmortem</w:t>
    </w:r>
  </w:p>
</w:hdr>
</file>

<file path=word/numbering.xml><?xml version="1.0" encoding="utf-8"?>
<w:numbering xmlns:w="http://schemas.openxmlformats.org/wordprocessingml/2006/main">
  <w:abstractNum w:abstractNumId="0">
    <w:lvl w:ilvl="0">
      <w:start w:val="1"/>
      <w:numFmt w:val="bullet"/>
      <w:lvlText w:val="•"/>
      <w:lvlJc w:val="left"/>
      <w:pPr>
        <w:tabs>
          <w:tab w:val="num" w:pos="720"/>
        </w:tabs>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pPr>
      <w:spacing w:after="120" w:line="264" w:lineRule="auto"/>
    </w:pPr>
  </w:style>
  <w:style w:type="paragraph" w:styleId="Title">
    <w:name w:val="Title"/>
    <w:basedOn w:val="Normal"/>
    <w:pPr>
      <w:spacing w:after="80"/>
    </w:pPr>
    <w:rPr>
      <w:b/>
      <w:sz w:val="46"/>
      <w:color w:val="0B2545"/>
    </w:rPr>
  </w:style>
  <w:style w:type="paragraph" w:styleId="Subtitle">
    <w:name w:val="Subtitle"/>
    <w:basedOn w:val="Normal"/>
    <w:pPr>
      <w:spacing w:after="240"/>
    </w:pPr>
    <w:rPr>
      <w:sz w:val="28"/>
      <w:color w:val="555555"/>
    </w:rPr>
  </w:style>
  <w:style w:type="paragraph" w:styleId="Heading1">
    <w:name w:val="Heading 1"/>
    <w:basedOn w:val="Normal"/>
    <w:pPr>
      <w:spacing w:before="320" w:after="160"/>
      <w:outlineLvl w:val="0"/>
    </w:pPr>
    <w:rPr>
      <w:b/>
      <w:sz w:val="32"/>
      <w:color w:val="2E74B5"/>
    </w:rPr>
  </w:style>
  <w:style w:type="paragraph" w:styleId="Heading2">
    <w:name w:val="Heading 2"/>
    <w:basedOn w:val="Normal"/>
    <w:pPr>
      <w:spacing w:before="240" w:after="120"/>
      <w:outlineLvl w:val="1"/>
    </w:pPr>
    <w:rPr>
      <w:b/>
      <w:sz w:val="26"/>
      <w:color w:val="2E74B5"/>
    </w:rPr>
  </w:style>
</w:styles>
</file>

<file path=word/_rels/document.xml.rels><?xml version="1.0"?><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numbering" Target="numbering.xml"/></Relationships>
</file>