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Northstar Transit Cloud | Site Reliability Engineering</w:t>
      </w:r>
    </w:p>
    <w:p>
      <w:pPr>
        <w:pStyle w:val="Title"/>
      </w:pPr>
      <w:r>
        <w:t xml:space="preserve">POSTMORTEM</w:t>
      </w:r>
    </w:p>
    <w:p>
      <w:pPr>
        <w:pStyle w:val="Subtitle"/>
      </w:pPr>
      <w:r>
        <w:t xml:space="preserve">Identity cache: token validation latency</w:t>
      </w:r>
    </w:p>
    <w:p>
      <w:pPr>
        <w:pStyle w:val="Normal"/>
      </w:pPr>
      <w:r>
        <w:t xml:space="preserve">Incident: INC-260628</w:t>
      </w:r>
    </w:p>
    <w:p>
      <w:pPr>
        <w:pStyle w:val="Normal"/>
      </w:pPr>
      <w:r>
        <w:t xml:space="preserve">Date: 2026-06-28</w:t>
      </w:r>
    </w:p>
    <w:p>
      <w:pPr>
        <w:pStyle w:val="Normal"/>
      </w:pPr>
      <w:r>
        <w:t xml:space="preserve">Severity: SEV-2</w:t>
      </w:r>
    </w:p>
    <w:p>
      <w:pPr>
        <w:pStyle w:val="Normal"/>
      </w:pPr>
      <w:r>
        <w:t xml:space="preserve">Service area: Identity cache</w:t>
      </w:r>
    </w:p>
    <w:p>
      <w:pPr>
        <w:pStyle w:val="Normal"/>
      </w:pPr>
      <w:r>
        <w:t xml:space="preserve">Status: Closed; actions tracked</w:t>
      </w:r>
    </w:p>
    <w:p>
      <w:pPr>
        <w:pStyle w:val="Normal"/>
      </w:pPr>
      <w:r>
        <w:t xml:space="preserve"/>
      </w:r>
    </w:p>
    <w:p>
      <w:pPr>
        <w:pStyle w:val="Heading1"/>
      </w:pPr>
      <w:r>
        <w:t xml:space="preserve">Executive summary</w:t>
      </w:r>
    </w:p>
    <w:p>
      <w:pPr>
        <w:pStyle w:val="Normal"/>
      </w:pPr>
      <w:r>
        <w:t xml:space="preserve">An identity cache warmup job fanned out stale-key refreshes to every shard. Validation requests queued until the refresh limiter was enabled.</w:t>
      </w:r>
    </w:p>
    <w:p>
      <w:pPr>
        <w:pStyle w:val="Heading1"/>
      </w:pPr>
      <w:r>
        <w:t xml:space="preserve">Impact and detection</w:t>
      </w:r>
    </w:p>
    <w:p>
      <w:pPr>
        <w:pStyle w:val="Normal"/>
      </w:pPr>
      <w:r>
        <w:t xml:space="preserve">26 minutes of elevated sign-in latency; 4.1% of validation requests exceeded the 2-second objective. No identities or session claims were changed.</w:t>
      </w:r>
    </w:p>
    <w:p>
      <w:pPr>
        <w:pStyle w:val="Normal"/>
      </w:pPr>
      <w:r>
        <w:t xml:space="preserve">Detection combined service-level error and latency signals with operator verification; the incident commander used the incident channel and append-only timeline as the decision record.</w:t>
      </w:r>
    </w:p>
    <w:p>
      <w:pPr>
        <w:pStyle w:val="Heading1"/>
      </w:pPr>
      <w:r>
        <w:t xml:space="preserve">What happened</w:t>
      </w:r>
    </w:p>
    <w:p>
      <w:pPr>
        <w:pStyle w:val="Normal"/>
      </w:pPr>
      <w:r>
        <w:t xml:space="preserve">The team contained customer impact first, then validated the rollback or corrective control against live error and queue indicators. Mitigation was declared only after two consecutive observation windows remained within objective.</w:t>
      </w:r>
    </w:p>
    <w:p>
      <w:pPr>
        <w:pStyle w:val="Heading2"/>
      </w:pPr>
      <w:r>
        <w:t xml:space="preserve">Timeline (UTC)</w:t>
      </w:r>
    </w:p>
    <w:tbl>
      <w:tblPr>
        <w:tblW w:w="9360" w:type="dxa"/>
        <w:tblInd w:w="120" w:type="dxa"/>
        <w:tblLayout w:type="fixed"/>
        <w:tblBorders>
          <w:top w:val="single" w:sz="4" w:color="B8C2CC"/>
          <w:left w:val="single" w:sz="4" w:color="B8C2CC"/>
          <w:bottom w:val="single" w:sz="4" w:color="B8C2CC"/>
          <w:right w:val="single" w:sz="4" w:color="B8C2CC"/>
          <w:insideH w:val="single" w:sz="4" w:color="D9E0E7"/>
          <w:insideV w:val="single" w:sz="4" w:color="D9E0E7"/>
        </w:tblBorders>
      </w:tblPr>
      <w:tblGrid>
        <w:gridCol w:w="1500"/>
        <w:gridCol w:w="7860"/>
      </w:tblGrid>
      <w:tr>
        <w:tc>
          <w:tcPr>
            <w:tcW w:w="1500" w:type="dxa"/>
            <w:shd w:fill="F2F4F7"/>
            <w:tcMar>
              <w:top w:w="80" w:type="dxa"/>
              <w:bottom w:w="80" w:type="dxa"/>
              <w:start w:w="120" w:type="dxa"/>
              <w:end w:w="120" w:type="dxa"/>
            </w:tcMar>
          </w:tcPr>
          <w:p>
            <w:pPr>
              <w:pStyle w:val="Normal"/>
            </w:pPr>
            <w:r>
              <w:rPr>
                <w:b/>
              </w:rPr>
              <w:t>Time</w:t>
            </w:r>
          </w:p>
        </w:tc>
        <w:tc>
          <w:tcPr>
            <w:tcW w:w="7860" w:type="dxa"/>
            <w:shd w:fill="F2F4F7"/>
            <w:tcMar>
              <w:top w:w="80" w:type="dxa"/>
              <w:bottom w:w="80" w:type="dxa"/>
              <w:start w:w="120" w:type="dxa"/>
              <w:end w:w="120" w:type="dxa"/>
            </w:tcMar>
          </w:tcPr>
          <w:p>
            <w:pPr>
              <w:pStyle w:val="Normal"/>
            </w:pPr>
            <w:r>
              <w:rPr>
                <w:b/>
              </w:rPr>
              <w:t>Operational decision</w:t>
            </w:r>
          </w:p>
        </w:tc>
      </w:tr>
      <w:tr>
        <w:tc>
          <w:tcPr>
            <w:tcW w:w="1500" w:type="dxa"/>
            <w:tcMar>
              <w:top w:w="80" w:type="dxa"/>
              <w:bottom w:w="80" w:type="dxa"/>
              <w:start w:w="120" w:type="dxa"/>
              <w:end w:w="120" w:type="dxa"/>
            </w:tcMar>
          </w:tcPr>
          <w:p>
            <w:pPr>
              <w:pStyle w:val="Normal"/>
            </w:pPr>
            <w:r>
              <w:t>14:03</w:t>
            </w:r>
          </w:p>
        </w:tc>
        <w:tc>
          <w:tcPr>
            <w:tcW w:w="7860" w:type="dxa"/>
            <w:tcMar>
              <w:top w:w="80" w:type="dxa"/>
              <w:bottom w:w="80" w:type="dxa"/>
              <w:start w:w="120" w:type="dxa"/>
              <w:end w:w="120" w:type="dxa"/>
            </w:tcMar>
          </w:tcPr>
          <w:p>
            <w:pPr>
              <w:pStyle w:val="Normal"/>
            </w:pPr>
            <w:r>
              <w:t>Latency alert triggered for identity validation.</w:t>
            </w:r>
          </w:p>
        </w:tc>
      </w:tr>
      <w:tr>
        <w:tc>
          <w:tcPr>
            <w:tcW w:w="1500" w:type="dxa"/>
            <w:tcMar>
              <w:top w:w="80" w:type="dxa"/>
              <w:bottom w:w="80" w:type="dxa"/>
              <w:start w:w="120" w:type="dxa"/>
              <w:end w:w="120" w:type="dxa"/>
            </w:tcMar>
          </w:tcPr>
          <w:p>
            <w:pPr>
              <w:pStyle w:val="Normal"/>
            </w:pPr>
            <w:r>
              <w:t>14:09</w:t>
            </w:r>
          </w:p>
        </w:tc>
        <w:tc>
          <w:tcPr>
            <w:tcW w:w="7860" w:type="dxa"/>
            <w:tcMar>
              <w:top w:w="80" w:type="dxa"/>
              <w:bottom w:w="80" w:type="dxa"/>
              <w:start w:w="120" w:type="dxa"/>
              <w:end w:w="120" w:type="dxa"/>
            </w:tcMar>
          </w:tcPr>
          <w:p>
            <w:pPr>
              <w:pStyle w:val="Normal"/>
            </w:pPr>
            <w:r>
              <w:t>On-call paused cache warmup.</w:t>
            </w:r>
          </w:p>
        </w:tc>
      </w:tr>
      <w:tr>
        <w:tc>
          <w:tcPr>
            <w:tcW w:w="1500" w:type="dxa"/>
            <w:tcMar>
              <w:top w:w="80" w:type="dxa"/>
              <w:bottom w:w="80" w:type="dxa"/>
              <w:start w:w="120" w:type="dxa"/>
              <w:end w:w="120" w:type="dxa"/>
            </w:tcMar>
          </w:tcPr>
          <w:p>
            <w:pPr>
              <w:pStyle w:val="Normal"/>
            </w:pPr>
            <w:r>
              <w:t>14:18</w:t>
            </w:r>
          </w:p>
        </w:tc>
        <w:tc>
          <w:tcPr>
            <w:tcW w:w="7860" w:type="dxa"/>
            <w:tcMar>
              <w:top w:w="80" w:type="dxa"/>
              <w:bottom w:w="80" w:type="dxa"/>
              <w:start w:w="120" w:type="dxa"/>
              <w:end w:w="120" w:type="dxa"/>
            </w:tcMar>
          </w:tcPr>
          <w:p>
            <w:pPr>
              <w:pStyle w:val="Normal"/>
            </w:pPr>
            <w:r>
              <w:t>Refresh limiter enabled; queues drained.</w:t>
            </w:r>
          </w:p>
        </w:tc>
      </w:tr>
      <w:tr>
        <w:tc>
          <w:tcPr>
            <w:tcW w:w="1500" w:type="dxa"/>
            <w:tcMar>
              <w:top w:w="80" w:type="dxa"/>
              <w:bottom w:w="80" w:type="dxa"/>
              <w:start w:w="120" w:type="dxa"/>
              <w:end w:w="120" w:type="dxa"/>
            </w:tcMar>
          </w:tcPr>
          <w:p>
            <w:pPr>
              <w:pStyle w:val="Normal"/>
            </w:pPr>
            <w:r>
              <w:t>14:29</w:t>
            </w:r>
          </w:p>
        </w:tc>
        <w:tc>
          <w:tcPr>
            <w:tcW w:w="7860" w:type="dxa"/>
            <w:tcMar>
              <w:top w:w="80" w:type="dxa"/>
              <w:bottom w:w="80" w:type="dxa"/>
              <w:start w:w="120" w:type="dxa"/>
              <w:end w:w="120" w:type="dxa"/>
            </w:tcMar>
          </w:tcPr>
          <w:p>
            <w:pPr>
              <w:pStyle w:val="Normal"/>
            </w:pPr>
            <w:r>
              <w:t>Latency objective restored.</w:t>
            </w:r>
          </w:p>
        </w:tc>
      </w:tr>
    </w:tbl>
    <w:p>
      <w:pPr>
        <w:pStyle w:val="Heading1"/>
      </w:pPr>
      <w:r>
        <w:t xml:space="preserve">Contributing conditions</w:t>
      </w:r>
    </w:p>
    <w:p>
      <w:pPr>
        <w:pStyle w:val="Normal"/>
        <w:numPr>
          <w:ilvl w:val="0"/>
          <w:numId w:val="1"/>
        </w:numPr>
      </w:pPr>
      <w:r>
        <w:t>The release or maintenance change did not model the relevant rebound or fanout condition.</w:t>
      </w:r>
    </w:p>
    <w:p>
      <w:pPr>
        <w:pStyle w:val="Normal"/>
        <w:numPr>
          <w:ilvl w:val="0"/>
          <w:numId w:val="1"/>
        </w:numPr>
      </w:pPr>
      <w:r>
        <w:t>Alerting detected the service symptom promptly, but the leading configuration signal was not directly observable.</w:t>
      </w:r>
    </w:p>
    <w:p>
      <w:pPr>
        <w:pStyle w:val="Normal"/>
        <w:numPr>
          <w:ilvl w:val="0"/>
          <w:numId w:val="1"/>
        </w:numPr>
      </w:pPr>
      <w:r>
        <w:t>Runbook steps were sufficient to restore service; follow-up work will make the safe path easier to verify.</w:t>
      </w:r>
    </w:p>
    <w:p>
      <w:pPr>
        <w:pStyle w:val="Heading1"/>
      </w:pPr>
      <w:r>
        <w:t xml:space="preserve">Root cause</w:t>
      </w:r>
    </w:p>
    <w:p>
      <w:pPr>
        <w:pStyle w:val="Normal"/>
      </w:pPr>
      <w:r>
        <w:t xml:space="preserve">The warmup job used an unbounded shard iterator after a schema label change.</w:t>
      </w:r>
    </w:p>
    <w:p>
      <w:pPr>
        <w:pStyle w:val="Heading1"/>
      </w:pPr>
      <w:r>
        <w:t xml:space="preserve">Corrective action plan</w:t>
      </w:r>
    </w:p>
    <w:p>
      <w:pPr>
        <w:pStyle w:val="Normal"/>
      </w:pPr>
      <w:r>
        <w:t xml:space="preserve">Actions are owned in the synthetic postmortem register. Due dates are review targets; completion requires evidence from a rehearsal, release check, or observed control.</w:t>
      </w:r>
    </w:p>
    <w:p>
      <w:pPr>
        <w:pStyle w:val="Normal"/>
        <w:numPr>
          <w:ilvl w:val="0"/>
          <w:numId w:val="1"/>
        </w:numPr>
      </w:pPr>
      <w:r>
        <w:t>ID-441 — Bound shard iterator | Owner: Identity | Review due: 2026-07-10</w:t>
      </w:r>
    </w:p>
    <w:p>
      <w:pPr>
        <w:pStyle w:val="Normal"/>
        <w:numPr>
          <w:ilvl w:val="0"/>
          <w:numId w:val="1"/>
        </w:numPr>
      </w:pPr>
      <w:r>
        <w:t>ID-448 — Add warmup circuit breaker | Owner: Identity | Review due: 2026-07-17</w:t>
      </w:r>
    </w:p>
    <w:p>
      <w:pPr>
        <w:pStyle w:val="Normal"/>
        <w:numPr>
          <w:ilvl w:val="0"/>
          <w:numId w:val="1"/>
        </w:numPr>
      </w:pPr>
      <w:r>
        <w:t>OBS-086 — Publish cache fanout panel | Owner: Observability | Review due: 2026-07-08</w:t>
      </w:r>
    </w:p>
    <w:p>
      <w:pPr>
        <w:pStyle w:val="Heading1"/>
      </w:pPr>
      <w:r>
        <w:t xml:space="preserve">Learning and recurrence controls</w:t>
      </w:r>
    </w:p>
    <w:p>
      <w:pPr>
        <w:pStyle w:val="Normal"/>
      </w:pPr>
      <w:r>
        <w:t xml:space="preserve">This incident is reviewed alongside the Q2 recurrence analysis. INC-260628 contributes a concrete failure mode, not a broad service reliability conclusion. The shared corrective-actions status file is the current cross-incident view.</w:t>
      </w:r>
    </w:p>
    <w:p>
      <w:pPr>
        <w:pStyle w:val="Heading1"/>
      </w:pPr>
      <w:r>
        <w:t xml:space="preserve">Decision record</w:t>
      </w:r>
    </w:p>
    <w:p>
      <w:pPr>
        <w:pStyle w:val="Normal"/>
      </w:pPr>
      <w:r>
        <w:t xml:space="preserve">The incident commander closed the event after recovery indicators were stable and the primary follow-ups had named owners. This document contains only synthetic operational details.</w:t>
      </w:r>
    </w:p>
    <w:p>
      <w:pPr>
        <w:pStyle w:val="Normal"/>
      </w:pPr>
      <w:r>
        <w:t xml:space="preserve">Prepared by: Northstar Transit Cloud SRE on-call rotation | Review audience: service owners and reliability council</w:t>
      </w:r>
    </w:p>
    <w:sectPr>
      <w:pgSz w:w="12240" w:h="15840"/>
      <w:pgMar w:top="1440" w:right="1440" w:bottom="1440" w:left="1440" w:header="709" w:footer="709"/>
      <w:headerReference xmlns:r="http://schemas.openxmlformats.org/officeDocument/2006/relationships" w:type="default" r:id="rId1"/>
      <w:footerReference xmlns:r="http://schemas.openxmlformats.org/officeDocument/2006/relationships" w:type="default" r:id="rId2"/>
    </w:sectPr>
  </w:body>
</w:document>
</file>

<file path=word/footer1.xml><?xml version="1.0" encoding="utf-8"?>
<w:ftr xmlns:w="http://schemas.openxmlformats.org/wordprocessingml/2006/main">
  <w:p>
    <w:pPr>
      <w:jc w:val="right"/>
    </w:pPr>
    <w:r>
      <w:rPr>
        <w:color w:val="667788"/>
        <w:sz w:val="18"/>
      </w:rPr>
      <w:t>Internal synthetic operations record</w:t>
    </w:r>
  </w:p>
</w:ftr>
</file>

<file path=word/header1.xml><?xml version="1.0" encoding="utf-8"?>
<w:hdr xmlns:w="http://schemas.openxmlformats.org/wordprocessingml/2006/main">
  <w:p>
    <w:pPr>
      <w:jc w:val="left"/>
    </w:pPr>
    <w:r>
      <w:rPr>
        <w:color w:val="667788"/>
        <w:sz w:val="18"/>
      </w:rPr>
      <w:t>Northstar Transit Cloud | Reliability Postmortem</w:t>
    </w:r>
  </w:p>
</w:hdr>
</file>

<file path=word/numbering.xml><?xml version="1.0" encoding="utf-8"?>
<w:numbering xmlns:w="http://schemas.openxmlformats.org/wordprocessingml/2006/main">
  <w:abstractNum w:abstractNumId="0">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20" w:line="264" w:lineRule="auto"/>
    </w:pPr>
  </w:style>
  <w:style w:type="paragraph" w:styleId="Title">
    <w:name w:val="Title"/>
    <w:basedOn w:val="Normal"/>
    <w:pPr>
      <w:spacing w:after="80"/>
    </w:pPr>
    <w:rPr>
      <w:b/>
      <w:sz w:val="46"/>
      <w:color w:val="0B2545"/>
    </w:rPr>
  </w:style>
  <w:style w:type="paragraph" w:styleId="Subtitle">
    <w:name w:val="Subtitle"/>
    <w:basedOn w:val="Normal"/>
    <w:pPr>
      <w:spacing w:after="240"/>
    </w:pPr>
    <w:rPr>
      <w:sz w:val="28"/>
      <w:color w:val="555555"/>
    </w:rPr>
  </w:style>
  <w:style w:type="paragraph" w:styleId="Heading1">
    <w:name w:val="Heading 1"/>
    <w:basedOn w:val="Normal"/>
    <w:pPr>
      <w:spacing w:before="320" w:after="160"/>
      <w:outlineLvl w:val="0"/>
    </w:pPr>
    <w:rPr>
      <w:b/>
      <w:sz w:val="32"/>
      <w:color w:val="2E74B5"/>
    </w:rPr>
  </w:style>
  <w:style w:type="paragraph" w:styleId="Heading2">
    <w:name w:val="Heading 2"/>
    <w:basedOn w:val="Normal"/>
    <w:pPr>
      <w:spacing w:before="240" w:after="120"/>
      <w:outlineLvl w:val="1"/>
    </w:pPr>
    <w:rPr>
      <w:b/>
      <w:sz w:val="26"/>
      <w:color w:val="2E74B5"/>
    </w:rPr>
  </w:style>
</w:styles>
</file>

<file path=word/_rels/document.xml.rels><?xml version="1.0"?><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s>
</file>