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Northstar Transit Cloud | Site Reliability Engineering</w:t>
      </w:r>
    </w:p>
    <w:p>
      <w:pPr>
        <w:pStyle w:val="Title"/>
      </w:pPr>
      <w:r>
        <w:t xml:space="preserve">POSTMORTEM</w:t>
      </w:r>
    </w:p>
    <w:p>
      <w:pPr>
        <w:pStyle w:val="Subtitle"/>
      </w:pPr>
      <w:r>
        <w:t xml:space="preserve">Checkout SVC-17: Checkout authorization latency</w:t>
      </w:r>
    </w:p>
    <w:p>
      <w:pPr>
        <w:pStyle w:val="Normal"/>
      </w:pPr>
      <w:r>
        <w:t xml:space="preserve">Incident: INC-260713</w:t>
      </w:r>
    </w:p>
    <w:p>
      <w:pPr>
        <w:pStyle w:val="Normal"/>
      </w:pPr>
      <w:r>
        <w:t xml:space="preserve">Date: 2026-07-13</w:t>
      </w:r>
    </w:p>
    <w:p>
      <w:pPr>
        <w:pStyle w:val="Normal"/>
      </w:pPr>
      <w:r>
        <w:t xml:space="preserve">Severity: SEV-2</w:t>
      </w:r>
    </w:p>
    <w:p>
      <w:pPr>
        <w:pStyle w:val="Normal"/>
      </w:pPr>
      <w:r>
        <w:t xml:space="preserve">Service area: Checkout SVC-17</w:t>
      </w:r>
    </w:p>
    <w:p>
      <w:pPr>
        <w:pStyle w:val="Normal"/>
      </w:pPr>
      <w:r>
        <w:t xml:space="preserve">Status: Closed; actions tracked</w:t>
      </w:r>
    </w:p>
    <w:p>
      <w:pPr>
        <w:pStyle w:val="Normal"/>
      </w:pPr>
      <w:r>
        <w:t xml:space="preserve"/>
      </w:r>
    </w:p>
    <w:p>
      <w:pPr>
        <w:pStyle w:val="Heading1"/>
      </w:pPr>
      <w:r>
        <w:t xml:space="preserve">Executive summary</w:t>
      </w:r>
    </w:p>
    <w:p>
      <w:pPr>
        <w:pStyle w:val="Normal"/>
      </w:pPr>
      <w:r>
        <w:t xml:space="preserve">A connection-pool rotation in Checkout SVC-17 exhausted available upstream sessions after a traffic rebound. The service shed queued authorization attempts while on-call staff restored the prior pool policy and added capacity. The rolling error budget 2.4% was recorded at declaration.</w:t>
      </w:r>
    </w:p>
    <w:p>
      <w:pPr>
        <w:pStyle w:val="Heading1"/>
      </w:pPr>
      <w:r>
        <w:t xml:space="preserve">Impact and detection</w:t>
      </w:r>
    </w:p>
    <w:p>
      <w:pPr>
        <w:pStyle w:val="Normal"/>
      </w:pPr>
      <w:r>
        <w:t xml:space="preserve">38 minutes of degraded checkout creation; 12.7% of authorization requests returned retryable errors at peak. No payment records were lost or duplicated.</w:t>
      </w:r>
    </w:p>
    <w:p>
      <w:pPr>
        <w:pStyle w:val="Normal"/>
      </w:pPr>
      <w:r>
        <w:t xml:space="preserve">Detection combined service-level error and latency signals with operator verification; the incident commander used the incident channel and append-only timeline as the decision record.</w:t>
      </w:r>
    </w:p>
    <w:p>
      <w:pPr>
        <w:pStyle w:val="Heading1"/>
      </w:pPr>
      <w:r>
        <w:t xml:space="preserve">What happened</w:t>
      </w:r>
    </w:p>
    <w:p>
      <w:pPr>
        <w:pStyle w:val="Normal"/>
      </w:pPr>
      <w:r>
        <w:t xml:space="preserve">The team contained customer impact first, then validated the rollback or corrective control against live error and queue indicators. Mitigation was declared only after two consecutive observation windows remained within objective.</w:t>
      </w:r>
    </w:p>
    <w:p>
      <w:pPr>
        <w:pStyle w:val="Heading2"/>
      </w:pPr>
      <w:r>
        <w:t xml:space="preserve">Timeline (UTC)</w:t>
      </w:r>
    </w:p>
    <w:tbl>
      <w:tblPr>
        <w:tblW w:w="9360" w:type="dxa"/>
        <w:tblInd w:w="120" w:type="dxa"/>
        <w:tblLayout w:type="fixed"/>
        <w:tblBorders>
          <w:top w:val="single" w:sz="4" w:color="B8C2CC"/>
          <w:left w:val="single" w:sz="4" w:color="B8C2CC"/>
          <w:bottom w:val="single" w:sz="4" w:color="B8C2CC"/>
          <w:right w:val="single" w:sz="4" w:color="B8C2CC"/>
          <w:insideH w:val="single" w:sz="4" w:color="D9E0E7"/>
          <w:insideV w:val="single" w:sz="4" w:color="D9E0E7"/>
        </w:tblBorders>
      </w:tblPr>
      <w:tblGrid>
        <w:gridCol w:w="1500"/>
        <w:gridCol w:w="7860"/>
      </w:tblGrid>
      <w:tr>
        <w:tc>
          <w:tcPr>
            <w:tcW w:w="1500" w:type="dxa"/>
            <w:shd w:fill="F2F4F7"/>
            <w:tcMar>
              <w:top w:w="80" w:type="dxa"/>
              <w:bottom w:w="80" w:type="dxa"/>
              <w:start w:w="120" w:type="dxa"/>
              <w:end w:w="120" w:type="dxa"/>
            </w:tcMar>
          </w:tcPr>
          <w:p>
            <w:pPr>
              <w:pStyle w:val="Normal"/>
            </w:pPr>
            <w:r>
              <w:rPr>
                <w:b/>
              </w:rPr>
              <w:t>Time</w:t>
            </w:r>
          </w:p>
        </w:tc>
        <w:tc>
          <w:tcPr>
            <w:tcW w:w="7860" w:type="dxa"/>
            <w:shd w:fill="F2F4F7"/>
            <w:tcMar>
              <w:top w:w="80" w:type="dxa"/>
              <w:bottom w:w="80" w:type="dxa"/>
              <w:start w:w="120" w:type="dxa"/>
              <w:end w:w="120" w:type="dxa"/>
            </w:tcMar>
          </w:tcPr>
          <w:p>
            <w:pPr>
              <w:pStyle w:val="Normal"/>
            </w:pPr>
            <w:r>
              <w:rPr>
                <w:b/>
              </w:rPr>
              <w:t>Operational decision</w:t>
            </w:r>
          </w:p>
        </w:tc>
      </w:tr>
      <w:tr>
        <w:tc>
          <w:tcPr>
            <w:tcW w:w="1500" w:type="dxa"/>
            <w:tcMar>
              <w:top w:w="80" w:type="dxa"/>
              <w:bottom w:w="80" w:type="dxa"/>
              <w:start w:w="120" w:type="dxa"/>
              <w:end w:w="120" w:type="dxa"/>
            </w:tcMar>
          </w:tcPr>
          <w:p>
            <w:pPr>
              <w:pStyle w:val="Normal"/>
            </w:pPr>
            <w:r>
              <w:t>09:12</w:t>
            </w:r>
          </w:p>
        </w:tc>
        <w:tc>
          <w:tcPr>
            <w:tcW w:w="7860" w:type="dxa"/>
            <w:tcMar>
              <w:top w:w="80" w:type="dxa"/>
              <w:bottom w:w="80" w:type="dxa"/>
              <w:start w:w="120" w:type="dxa"/>
              <w:end w:w="120" w:type="dxa"/>
            </w:tcMar>
          </w:tcPr>
          <w:p>
            <w:pPr>
              <w:pStyle w:val="Normal"/>
            </w:pPr>
            <w:r>
              <w:t>Alert: checkout authorization error ratio crossed 4%.</w:t>
            </w:r>
          </w:p>
        </w:tc>
      </w:tr>
      <w:tr>
        <w:tc>
          <w:tcPr>
            <w:tcW w:w="1500" w:type="dxa"/>
            <w:tcMar>
              <w:top w:w="80" w:type="dxa"/>
              <w:bottom w:w="80" w:type="dxa"/>
              <w:start w:w="120" w:type="dxa"/>
              <w:end w:w="120" w:type="dxa"/>
            </w:tcMar>
          </w:tcPr>
          <w:p>
            <w:pPr>
              <w:pStyle w:val="Normal"/>
            </w:pPr>
            <w:r>
              <w:t>09:18</w:t>
            </w:r>
          </w:p>
        </w:tc>
        <w:tc>
          <w:tcPr>
            <w:tcW w:w="7860" w:type="dxa"/>
            <w:tcMar>
              <w:top w:w="80" w:type="dxa"/>
              <w:bottom w:w="80" w:type="dxa"/>
              <w:start w:w="120" w:type="dxa"/>
              <w:end w:w="120" w:type="dxa"/>
            </w:tcMar>
          </w:tcPr>
          <w:p>
            <w:pPr>
              <w:pStyle w:val="Normal"/>
            </w:pPr>
            <w:r>
              <w:t>Incident declared; traffic manager set to conservative retries.</w:t>
            </w:r>
          </w:p>
        </w:tc>
      </w:tr>
      <w:tr>
        <w:tc>
          <w:tcPr>
            <w:tcW w:w="1500" w:type="dxa"/>
            <w:tcMar>
              <w:top w:w="80" w:type="dxa"/>
              <w:bottom w:w="80" w:type="dxa"/>
              <w:start w:w="120" w:type="dxa"/>
              <w:end w:w="120" w:type="dxa"/>
            </w:tcMar>
          </w:tcPr>
          <w:p>
            <w:pPr>
              <w:pStyle w:val="Normal"/>
            </w:pPr>
            <w:r>
              <w:t>09:31</w:t>
            </w:r>
          </w:p>
        </w:tc>
        <w:tc>
          <w:tcPr>
            <w:tcW w:w="7860" w:type="dxa"/>
            <w:tcMar>
              <w:top w:w="80" w:type="dxa"/>
              <w:bottom w:w="80" w:type="dxa"/>
              <w:start w:w="120" w:type="dxa"/>
              <w:end w:w="120" w:type="dxa"/>
            </w:tcMar>
          </w:tcPr>
          <w:p>
            <w:pPr>
              <w:pStyle w:val="Normal"/>
            </w:pPr>
            <w:r>
              <w:t>Rollback completed; pool occupancy began falling.</w:t>
            </w:r>
          </w:p>
        </w:tc>
      </w:tr>
      <w:tr>
        <w:tc>
          <w:tcPr>
            <w:tcW w:w="1500" w:type="dxa"/>
            <w:tcMar>
              <w:top w:w="80" w:type="dxa"/>
              <w:bottom w:w="80" w:type="dxa"/>
              <w:start w:w="120" w:type="dxa"/>
              <w:end w:w="120" w:type="dxa"/>
            </w:tcMar>
          </w:tcPr>
          <w:p>
            <w:pPr>
              <w:pStyle w:val="Normal"/>
            </w:pPr>
            <w:r>
              <w:t>09:50</w:t>
            </w:r>
          </w:p>
        </w:tc>
        <w:tc>
          <w:tcPr>
            <w:tcW w:w="7860" w:type="dxa"/>
            <w:tcMar>
              <w:top w:w="80" w:type="dxa"/>
              <w:bottom w:w="80" w:type="dxa"/>
              <w:start w:w="120" w:type="dxa"/>
              <w:end w:w="120" w:type="dxa"/>
            </w:tcMar>
          </w:tcPr>
          <w:p>
            <w:pPr>
              <w:pStyle w:val="Normal"/>
            </w:pPr>
            <w:r>
              <w:t>Error ratio below 0.5%; incident mitigated.</w:t>
            </w:r>
          </w:p>
        </w:tc>
      </w:tr>
    </w:tbl>
    <w:p>
      <w:pPr>
        <w:pStyle w:val="Heading1"/>
      </w:pPr>
      <w:r>
        <w:t xml:space="preserve">Contributing conditions</w:t>
      </w:r>
    </w:p>
    <w:p>
      <w:pPr>
        <w:pStyle w:val="Normal"/>
        <w:numPr>
          <w:ilvl w:val="0"/>
          <w:numId w:val="1"/>
        </w:numPr>
      </w:pPr>
      <w:r>
        <w:t>The release or maintenance change did not model the relevant rebound or fanout condition.</w:t>
      </w:r>
    </w:p>
    <w:p>
      <w:pPr>
        <w:pStyle w:val="Normal"/>
        <w:numPr>
          <w:ilvl w:val="0"/>
          <w:numId w:val="1"/>
        </w:numPr>
      </w:pPr>
      <w:r>
        <w:t>Alerting detected the service symptom promptly, but the leading configuration signal was not directly observable.</w:t>
      </w:r>
    </w:p>
    <w:p>
      <w:pPr>
        <w:pStyle w:val="Normal"/>
        <w:numPr>
          <w:ilvl w:val="0"/>
          <w:numId w:val="1"/>
        </w:numPr>
      </w:pPr>
      <w:r>
        <w:t>Runbook steps were sufficient to restore service; follow-up work will make the safe path easier to verify.</w:t>
      </w:r>
    </w:p>
    <w:p>
      <w:pPr>
        <w:pStyle w:val="Heading1"/>
      </w:pPr>
      <w:r>
        <w:t xml:space="preserve">Root cause</w:t>
      </w:r>
    </w:p>
    <w:p>
      <w:pPr>
        <w:pStyle w:val="Normal"/>
      </w:pPr>
      <w:r>
        <w:t xml:space="preserve">A rollout changed pool retirement from staged drain to immediate close. The interaction was not represented in the synthetic load test.</w:t>
      </w:r>
    </w:p>
    <w:p>
      <w:pPr>
        <w:pStyle w:val="Heading1"/>
      </w:pPr>
      <w:r>
        <w:t xml:space="preserve">Corrective action plan</w:t>
      </w:r>
    </w:p>
    <w:p>
      <w:pPr>
        <w:pStyle w:val="Normal"/>
      </w:pPr>
      <w:r>
        <w:t xml:space="preserve">Actions are owned in the synthetic postmortem register. Due dates are review targets; completion requires evidence from a rehearsal, release check, or observed control.</w:t>
      </w:r>
    </w:p>
    <w:p>
      <w:pPr>
        <w:pStyle w:val="Normal"/>
        <w:numPr>
          <w:ilvl w:val="0"/>
          <w:numId w:val="1"/>
        </w:numPr>
      </w:pPr>
      <w:r>
        <w:t>CAP-174 — Add staged-drain assertion to checkout release gate | Owner: Platform Runtime | Review due: 2026-07-24</w:t>
      </w:r>
    </w:p>
    <w:p>
      <w:pPr>
        <w:pStyle w:val="Normal"/>
        <w:numPr>
          <w:ilvl w:val="0"/>
          <w:numId w:val="1"/>
        </w:numPr>
      </w:pPr>
      <w:r>
        <w:t>OBS-089 — Alert on pool retirement bursts | Owner: Observability | Review due: 2026-07-20</w:t>
      </w:r>
    </w:p>
    <w:p>
      <w:pPr>
        <w:pStyle w:val="Normal"/>
        <w:numPr>
          <w:ilvl w:val="0"/>
          <w:numId w:val="1"/>
        </w:numPr>
      </w:pPr>
      <w:r>
        <w:t>REL-233 — Exercise traffic rebound scenario | Owner: Checkout | Review due: 2026-08-07</w:t>
      </w:r>
    </w:p>
    <w:p>
      <w:pPr>
        <w:pStyle w:val="Heading1"/>
      </w:pPr>
      <w:r>
        <w:t xml:space="preserve">Learning and recurrence controls</w:t>
      </w:r>
    </w:p>
    <w:p>
      <w:pPr>
        <w:pStyle w:val="Normal"/>
      </w:pPr>
      <w:r>
        <w:t xml:space="preserve">This incident is reviewed alongside the Q2 recurrence analysis. INC-260713 contributes a concrete failure mode, not a broad service reliability conclusion. The shared corrective-actions status file is the current cross-incident view.</w:t>
      </w:r>
    </w:p>
    <w:p>
      <w:pPr>
        <w:pStyle w:val="Heading1"/>
      </w:pPr>
      <w:r>
        <w:t xml:space="preserve">Decision record</w:t>
      </w:r>
    </w:p>
    <w:p>
      <w:pPr>
        <w:pStyle w:val="Normal"/>
      </w:pPr>
      <w:r>
        <w:t xml:space="preserve">The incident commander closed the event after recovery indicators were stable and the primary follow-ups had named owners. This document contains only synthetic operational details.</w:t>
      </w:r>
    </w:p>
    <w:p>
      <w:pPr>
        <w:pStyle w:val="Normal"/>
      </w:pPr>
      <w:r>
        <w:t xml:space="preserve">Prepared by: Northstar Transit Cloud SRE on-call rotation | Review audience: service owners and reliability council</w:t>
      </w:r>
    </w:p>
    <w:sectPr>
      <w:pgSz w:w="12240" w:h="15840"/>
      <w:pgMar w:top="1440" w:right="1440" w:bottom="1440" w:left="1440" w:header="709" w:footer="709"/>
      <w:headerReference xmlns:r="http://schemas.openxmlformats.org/officeDocument/2006/relationships" w:type="default" r:id="rId1"/>
      <w:footerReference xmlns:r="http://schemas.openxmlformats.org/officeDocument/2006/relationships" w:type="default" r:id="rId2"/>
    </w:sectPr>
  </w:body>
</w:document>
</file>

<file path=word/footer1.xml><?xml version="1.0" encoding="utf-8"?>
<w:ftr xmlns:w="http://schemas.openxmlformats.org/wordprocessingml/2006/main">
  <w:p>
    <w:pPr>
      <w:jc w:val="right"/>
    </w:pPr>
    <w:r>
      <w:rPr>
        <w:color w:val="667788"/>
        <w:sz w:val="18"/>
      </w:rPr>
      <w:t>Internal synthetic operations record</w:t>
    </w:r>
  </w:p>
</w:ftr>
</file>

<file path=word/header1.xml><?xml version="1.0" encoding="utf-8"?>
<w:hdr xmlns:w="http://schemas.openxmlformats.org/wordprocessingml/2006/main">
  <w:p>
    <w:pPr>
      <w:jc w:val="left"/>
    </w:pPr>
    <w:r>
      <w:rPr>
        <w:color w:val="667788"/>
        <w:sz w:val="18"/>
      </w:rPr>
      <w:t>Northstar Transit Cloud | Reliability Postmortem</w:t>
    </w:r>
  </w:p>
</w:hdr>
</file>

<file path=word/numbering.xml><?xml version="1.0" encoding="utf-8"?>
<w:numbering xmlns:w="http://schemas.openxmlformats.org/wordprocessingml/2006/main">
  <w:abstractNum w:abstractNumId="0">
    <w:lvl w:ilvl="0">
      <w:start w:val="1"/>
      <w:numFmt w:val="bullet"/>
      <w:lvlText w:val="•"/>
      <w:lvlJc w:val="left"/>
      <w:pPr>
        <w:tabs>
          <w:tab w:val="num" w:pos="720"/>
        </w:tabs>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pPr>
      <w:spacing w:after="120" w:line="264" w:lineRule="auto"/>
    </w:pPr>
  </w:style>
  <w:style w:type="paragraph" w:styleId="Title">
    <w:name w:val="Title"/>
    <w:basedOn w:val="Normal"/>
    <w:pPr>
      <w:spacing w:after="80"/>
    </w:pPr>
    <w:rPr>
      <w:b/>
      <w:sz w:val="46"/>
      <w:color w:val="0B2545"/>
    </w:rPr>
  </w:style>
  <w:style w:type="paragraph" w:styleId="Subtitle">
    <w:name w:val="Subtitle"/>
    <w:basedOn w:val="Normal"/>
    <w:pPr>
      <w:spacing w:after="240"/>
    </w:pPr>
    <w:rPr>
      <w:sz w:val="28"/>
      <w:color w:val="555555"/>
    </w:rPr>
  </w:style>
  <w:style w:type="paragraph" w:styleId="Heading1">
    <w:name w:val="Heading 1"/>
    <w:basedOn w:val="Normal"/>
    <w:pPr>
      <w:spacing w:before="320" w:after="160"/>
      <w:outlineLvl w:val="0"/>
    </w:pPr>
    <w:rPr>
      <w:b/>
      <w:sz w:val="32"/>
      <w:color w:val="2E74B5"/>
    </w:rPr>
  </w:style>
  <w:style w:type="paragraph" w:styleId="Heading2">
    <w:name w:val="Heading 2"/>
    <w:basedOn w:val="Normal"/>
    <w:pPr>
      <w:spacing w:before="240" w:after="120"/>
      <w:outlineLvl w:val="1"/>
    </w:pPr>
    <w:rPr>
      <w:b/>
      <w:sz w:val="26"/>
      <w:color w:val="2E74B5"/>
    </w:rPr>
  </w:style>
</w:styles>
</file>

<file path=word/_rels/document.xml.rels><?xml version="1.0"?><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numbering" Target="numbering.xml"/></Relationships>
</file>