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Offer Range Calibration Memo</w:t>
      </w:r>
    </w:p>
    <w:p>
      <w:r>
        <w:rPr>
          <w:i/>
          <w:color w:val="52616B"/>
        </w:rPr>
        <w:t>To: People Ops and Finance review | Effective 2026-08-18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Requisition Alpha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People Analytics Partner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Openings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JPY 7.2M-8.4M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Midpoint planning anchor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JPY 7.8M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Comparatio at anchor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100%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Range penetration at anchor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50%</w:t>
            </w:r>
          </w:p>
        </w:tc>
      </w:tr>
    </w:tbl>
    <w:p>
      <w:r>
        <w:rPr>
          <w:i/>
        </w:rPr>
        <w:t>Reference values are synthetic and aggregated. The table supports policy application, not an individual pay decision.</w:t>
      </w:r>
    </w:p>
    <w:p>
      <w:pPr>
        <w:pStyle w:val="Heading1"/>
      </w:pPr>
      <w:r>
        <w:t>Recommendation</w:t>
      </w:r>
    </w:p>
    <w:p>
      <w:r>
        <w:t>Use the band midpoint as the default planning anchor for Requisition Alpha: People Analytics Partner. The approved synthetic band is JPY 7.2M to 8.4M with a JPY 7.8M midpoint and 3 openings.</w:t>
      </w:r>
    </w:p>
    <w:p>
      <w:pPr>
        <w:pStyle w:val="Heading1"/>
      </w:pPr>
      <w:r>
        <w:t>Calibration logic</w:t>
      </w:r>
    </w:p>
    <w:p>
      <w:r>
        <w:t>At the midpoint anchor, comparatio is 100% and range penetration is 50%. This sits within the 35%-65% planning corridor.</w:t>
      </w:r>
    </w:p>
    <w:p>
      <w:r>
        <w:t>Any move outside the corridor should be reviewed by People Ops and Finance with a role-level rationale.</w:t>
      </w:r>
    </w:p>
    <w:p>
      <w:pPr>
        <w:pStyle w:val="Heading1"/>
      </w:pPr>
      <w:r>
        <w:t>Boundaries</w:t>
      </w:r>
    </w:p>
    <w:p>
      <w:r>
        <w:t>This memo is an internal planning reference. It contains no individual compensation, candidate, or employee information and does not create an offer commitment or legal-compliance representation.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Orchid People | Internal governance reference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Range Calibration Memo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