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6"/>
        </w:rPr>
        <w:t>Hiring Manager Prep Notes</w:t>
      </w:r>
    </w:p>
    <w:p>
      <w:pPr>
        <w:spacing w:after="280"/>
      </w:pPr>
      <w:r>
        <w:rPr>
          <w:rFonts w:ascii="Calibri" w:hAnsi="Calibri"/>
          <w:b w:val="0"/>
          <w:color w:val="4B5563"/>
          <w:sz w:val="24"/>
        </w:rPr>
        <w:t>Requisition Alpha | 3 openings | JPY 7.2-8.4M | 2026-08-18</w:t>
      </w:r>
    </w:p>
    <w:p>
      <w:r>
        <w:rPr>
          <w:rFonts w:ascii="Calibri" w:hAnsi="Calibri"/>
          <w:b/>
          <w:color w:val="1F4D78"/>
          <w:sz w:val="22"/>
        </w:rPr>
        <w:t xml:space="preserve">Purpose. </w:t>
      </w:r>
      <w:r>
        <w:rPr>
          <w:rFonts w:ascii="Calibri" w:hAnsi="Calibri"/>
          <w:sz w:val="22"/>
        </w:rPr>
        <w:t>Align the interview panel on evidence, sequence, and a consistent candidate-ID-only review process before interviews begin.</w:t>
      </w:r>
    </w:p>
    <w:p>
      <w:pPr>
        <w:pStyle w:val="Heading1"/>
      </w:pPr>
      <w:r>
        <w:t>Decision frame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F2F4F7"/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Item</w:t>
            </w:r>
          </w:p>
        </w:tc>
        <w:tc>
          <w:tcPr>
            <w:tcW w:type="dxa" w:w="7460"/>
            <w:shd w:fill="F2F4F7"/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Working agreement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Openings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Three approved openings; avoid assigning a preferred candidate before panel calibration.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Compensation band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JPY 7.2-8.4M; discuss role scope and band fit only, not candidate salary history.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Partner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People Analytics Partner reviews funnel pacing and capacity signals.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Identity handling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Use candidate IDs only in notes, rubrics, and verbal debriefs.</w:t>
            </w:r>
          </w:p>
        </w:tc>
      </w:tr>
    </w:tbl>
    <w:p>
      <w:pPr>
        <w:pStyle w:val="Heading1"/>
      </w:pPr>
      <w:r>
        <w:t>Interview sequence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Start with role outcomes and the first 90-day operating context.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Ask the same evidence-focused core questions for every candidate ID.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Capture observable examples; separate evidence from interpretation.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Close by confirming the next decision checkpoint and rubric owner.</w:t>
      </w:r>
    </w:p>
    <w:p>
      <w:pPr>
        <w:pStyle w:val="Heading1"/>
      </w:pPr>
      <w:r>
        <w:t>Panel calibration prompts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F2F4F7"/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Prompt</w:t>
            </w:r>
          </w:p>
        </w:tc>
        <w:tc>
          <w:tcPr>
            <w:tcW w:type="dxa" w:w="6660"/>
            <w:shd w:fill="F2F4F7"/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What good evidence looks like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Stakeholder judgment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Explains tradeoffs, decision rights, and follow-through without relying on titles.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Operational rigor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Defines a measurable plan, escalation point, and learning loop.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People partnership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Balances hiring velocity with fair, repeatable process choices.</w:t>
            </w:r>
          </w:p>
        </w:tc>
      </w:tr>
    </w:tbl>
    <w:p>
      <w:pPr>
        <w:pStyle w:val="Heading1"/>
      </w:pPr>
      <w:r>
        <w:t>Debrief guardrails</w:t>
      </w:r>
    </w:p>
    <w:p>
      <w:pPr>
        <w:spacing w:after="0"/>
      </w:pPr>
      <w:r>
        <w:t>Record a rubric rating and one concise evidence statement for each competency. Escalate conflicts to the hiring manager and People Analytics Partner; do not add personal background, contact information, or compensation-history commentary.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8"/>
      </w:rPr>
      <w:t>Orchid People | Internal working copy | 2026-08-18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6B7280"/>
        <w:sz w:val="18"/>
      </w:rPr>
      <w:t>Hiring manager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