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6"/>
        </w:rPr>
        <w:t>Interview Documentation Policy - Working Copy</w:t>
      </w:r>
    </w:p>
    <w:p>
      <w:pPr>
        <w:spacing w:after="280"/>
      </w:pPr>
      <w:r>
        <w:rPr>
          <w:rFonts w:ascii="Calibri" w:hAnsi="Calibri"/>
          <w:b w:val="0"/>
          <w:color w:val="4B5563"/>
          <w:sz w:val="24"/>
        </w:rPr>
        <w:t>Orchid People | proposed edit for Requisition Alpha workflow | 2026-08-18</w:t>
      </w:r>
    </w:p>
    <w:p>
      <w:r>
        <w:rPr>
          <w:rFonts w:ascii="Calibri" w:hAnsi="Calibri"/>
          <w:b/>
          <w:color w:val="7A5A00"/>
          <w:sz w:val="22"/>
        </w:rPr>
        <w:t xml:space="preserve">Status: </w:t>
      </w:r>
      <w:r>
        <w:rPr>
          <w:rFonts w:ascii="Calibri" w:hAnsi="Calibri"/>
          <w:b w:val="0"/>
          <w:color w:val="7A5A00"/>
          <w:sz w:val="22"/>
        </w:rPr>
        <w:t>Working draft for internal review; not an approved policy.</w:t>
      </w:r>
    </w:p>
    <w:p>
      <w:pPr>
        <w:pStyle w:val="Heading1"/>
      </w:pPr>
      <w:r>
        <w:t>1. Purpose and scope</w:t>
      </w:r>
    </w:p>
    <w:p>
      <w:r>
        <w:t>This working copy describes minimum documentation practices for active hiring activity. It applies to interviewer notes, panel debriefs, and requisition decision logs connected to Requisition Alpha and may inform broader process review.</w:t>
      </w:r>
    </w:p>
    <w:p>
      <w:pPr>
        <w:pStyle w:val="Heading1"/>
      </w:pPr>
      <w:r>
        <w:t>2. Required record content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00"/>
            <w:shd w:fill="F2F4F7"/>
            <w:vAlign w:val="center"/>
          </w:tcPr>
          <w:p>
            <w:r>
              <w:rPr>
                <w:rFonts w:ascii="Calibri" w:hAnsi="Calibri"/>
                <w:b/>
                <w:color w:val="0B2545"/>
                <w:sz w:val="20"/>
              </w:rPr>
              <w:t>Record</w:t>
            </w:r>
          </w:p>
        </w:tc>
        <w:tc>
          <w:tcPr>
            <w:tcW w:type="dxa" w:w="3900"/>
            <w:shd w:fill="F2F4F7"/>
            <w:vAlign w:val="center"/>
          </w:tcPr>
          <w:p>
            <w:r>
              <w:rPr>
                <w:rFonts w:ascii="Calibri" w:hAnsi="Calibri"/>
                <w:b/>
                <w:color w:val="0B2545"/>
                <w:sz w:val="20"/>
              </w:rPr>
              <w:t>Required working content</w:t>
            </w:r>
          </w:p>
        </w:tc>
        <w:tc>
          <w:tcPr>
            <w:tcW w:type="dxa" w:w="3560"/>
            <w:shd w:fill="F2F4F7"/>
            <w:vAlign w:val="center"/>
          </w:tcPr>
          <w:p>
            <w:r>
              <w:rPr>
                <w:rFonts w:ascii="Calibri" w:hAnsi="Calibri"/>
                <w:b/>
                <w:color w:val="0B2545"/>
                <w:sz w:val="20"/>
              </w:rPr>
              <w:t>Do not include</w:t>
            </w:r>
          </w:p>
        </w:tc>
      </w:tr>
      <w:tr>
        <w:tc>
          <w:tcPr>
            <w:tcW w:type="dxa" w:w="1900"/>
            <w:vAlign w:val="center"/>
          </w:tcPr>
          <w:p>
            <w:pPr>
              <w:spacing w:after="40"/>
            </w:pPr>
            <w:r>
              <w:rPr>
                <w:rFonts w:ascii="Calibri" w:hAnsi="Calibri"/>
                <w:sz w:val="20"/>
              </w:rPr>
              <w:t>Interview note</w:t>
            </w:r>
          </w:p>
        </w:tc>
        <w:tc>
          <w:tcPr>
            <w:tcW w:type="dxa" w:w="3900"/>
            <w:vAlign w:val="center"/>
          </w:tcPr>
          <w:p>
            <w:pPr>
              <w:spacing w:after="40"/>
            </w:pPr>
            <w:r>
              <w:rPr>
                <w:rFonts w:ascii="Calibri" w:hAnsi="Calibri"/>
                <w:sz w:val="20"/>
              </w:rPr>
              <w:t>Candidate ID, competency, observable evidence, rubric signal, next action.</w:t>
            </w:r>
          </w:p>
        </w:tc>
        <w:tc>
          <w:tcPr>
            <w:tcW w:type="dxa" w:w="3560"/>
            <w:vAlign w:val="center"/>
          </w:tcPr>
          <w:p>
            <w:pPr>
              <w:spacing w:after="40"/>
            </w:pPr>
            <w:r>
              <w:rPr>
                <w:rFonts w:ascii="Calibri" w:hAnsi="Calibri"/>
                <w:sz w:val="20"/>
              </w:rPr>
              <w:t>Names, contact details, resumes, protected-trait speculation, salary history.</w:t>
            </w:r>
          </w:p>
        </w:tc>
      </w:tr>
      <w:tr>
        <w:tc>
          <w:tcPr>
            <w:tcW w:type="dxa" w:w="1900"/>
            <w:vAlign w:val="center"/>
          </w:tcPr>
          <w:p>
            <w:pPr>
              <w:spacing w:after="40"/>
            </w:pPr>
            <w:r>
              <w:rPr>
                <w:rFonts w:ascii="Calibri" w:hAnsi="Calibri"/>
                <w:sz w:val="20"/>
              </w:rPr>
              <w:t>Panel debrief</w:t>
            </w:r>
          </w:p>
        </w:tc>
        <w:tc>
          <w:tcPr>
            <w:tcW w:type="dxa" w:w="3900"/>
            <w:vAlign w:val="center"/>
          </w:tcPr>
          <w:p>
            <w:pPr>
              <w:spacing w:after="40"/>
            </w:pPr>
            <w:r>
              <w:rPr>
                <w:rFonts w:ascii="Calibri" w:hAnsi="Calibri"/>
                <w:sz w:val="20"/>
              </w:rPr>
              <w:t>Candidate ID, evidence summary, unresolved question, decision owner.</w:t>
            </w:r>
          </w:p>
        </w:tc>
        <w:tc>
          <w:tcPr>
            <w:tcW w:type="dxa" w:w="3560"/>
            <w:vAlign w:val="center"/>
          </w:tcPr>
          <w:p>
            <w:pPr>
              <w:spacing w:after="40"/>
            </w:pPr>
            <w:r>
              <w:rPr>
                <w:rFonts w:ascii="Calibri" w:hAnsi="Calibri"/>
                <w:sz w:val="20"/>
              </w:rPr>
              <w:t>Personal anecdotes unrelated to job evidence.</w:t>
            </w:r>
          </w:p>
        </w:tc>
      </w:tr>
      <w:tr>
        <w:tc>
          <w:tcPr>
            <w:tcW w:type="dxa" w:w="1900"/>
            <w:vAlign w:val="center"/>
          </w:tcPr>
          <w:p>
            <w:pPr>
              <w:spacing w:after="40"/>
            </w:pPr>
            <w:r>
              <w:rPr>
                <w:rFonts w:ascii="Calibri" w:hAnsi="Calibri"/>
                <w:sz w:val="20"/>
              </w:rPr>
              <w:t>Requisition log</w:t>
            </w:r>
          </w:p>
        </w:tc>
        <w:tc>
          <w:tcPr>
            <w:tcW w:type="dxa" w:w="3900"/>
            <w:vAlign w:val="center"/>
          </w:tcPr>
          <w:p>
            <w:pPr>
              <w:spacing w:after="40"/>
            </w:pPr>
            <w:r>
              <w:rPr>
                <w:rFonts w:ascii="Calibri" w:hAnsi="Calibri"/>
                <w:sz w:val="20"/>
              </w:rPr>
              <w:t>Opening count, approved band, capacity dependency, dated decision.</w:t>
            </w:r>
          </w:p>
        </w:tc>
        <w:tc>
          <w:tcPr>
            <w:tcW w:type="dxa" w:w="3560"/>
            <w:vAlign w:val="center"/>
          </w:tcPr>
          <w:p>
            <w:pPr>
              <w:spacing w:after="40"/>
            </w:pPr>
            <w:r>
              <w:rPr>
                <w:rFonts w:ascii="Calibri" w:hAnsi="Calibri"/>
                <w:sz w:val="20"/>
              </w:rPr>
              <w:t>Credentials, access links, or individual compensation details.</w:t>
            </w:r>
          </w:p>
        </w:tc>
      </w:tr>
    </w:tbl>
    <w:p>
      <w:pPr>
        <w:pStyle w:val="Heading1"/>
      </w:pPr>
      <w:r>
        <w:t>3. Review and retention</w:t>
      </w:r>
    </w:p>
    <w:p>
      <w:r>
        <w:t>The hiring manager maintains the working decision log. The People Analytics Partner may review aggregate funnel and interviewer-capacity signals. Store only the minimum process evidence needed for a fair, consistent decision and follow the approved retention schedule when finalized.</w:t>
      </w:r>
    </w:p>
    <w:p>
      <w:pPr>
        <w:pStyle w:val="Heading1"/>
      </w:pPr>
      <w:r>
        <w:t>4. Proposed workflow note</w:t>
      </w:r>
    </w:p>
    <w:p>
      <w:r>
        <w:t>For the current 3 openings, panel members should submit rubric evidence before the scheduled debrief. The active role band remains JPY 7.2-8.4M. If a note contains prohibited content, remove the content and record only the job-related evidence before the note is shared.</w:t>
      </w:r>
    </w:p>
    <w:p>
      <w:pPr>
        <w:pStyle w:val="Heading1"/>
      </w:pPr>
      <w:r>
        <w:t>5. Open review items</w:t>
      </w:r>
    </w:p>
    <w:p>
      <w:pPr>
        <w:pStyle w:val="ListBullet"/>
        <w:spacing w:after="80"/>
      </w:pPr>
      <w:r>
        <w:rPr>
          <w:rFonts w:ascii="Calibri" w:hAnsi="Calibri"/>
          <w:sz w:val="22"/>
        </w:rPr>
        <w:t>Confirm final retention period with policy owner.</w:t>
      </w:r>
    </w:p>
    <w:p>
      <w:pPr>
        <w:pStyle w:val="ListBullet"/>
        <w:spacing w:after="80"/>
      </w:pPr>
      <w:r>
        <w:rPr>
          <w:rFonts w:ascii="Calibri" w:hAnsi="Calibri"/>
          <w:sz w:val="22"/>
        </w:rPr>
        <w:t>Confirm whether rubric calibration requires a second reviewer for all three openings.</w:t>
      </w:r>
    </w:p>
    <w:p>
      <w:pPr>
        <w:pStyle w:val="ListBullet"/>
        <w:spacing w:after="80"/>
      </w:pPr>
      <w:r>
        <w:rPr>
          <w:rFonts w:ascii="Calibri" w:hAnsi="Calibri"/>
          <w:sz w:val="22"/>
        </w:rPr>
        <w:t>Publish an approved version only after People Ops review.</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B7280"/>
        <w:sz w:val="18"/>
      </w:rPr>
      <w:t>Orchid People | Internal working copy | 2026-08-18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color w:val="6B7280"/>
        <w:sz w:val="18"/>
      </w:rPr>
      <w:t>People policy working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