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87E7E"/>
          <w:sz w:val="20"/>
        </w:rPr>
        <w:t>ORCHID PEOPLE</w:t>
      </w:r>
    </w:p>
    <w:p>
      <w:pPr>
        <w:pStyle w:val="Title"/>
      </w:pPr>
      <w:r>
        <w:t>People Ops glossary</w:t>
      </w:r>
    </w:p>
    <w:p>
      <w:r>
        <w:rPr>
          <w:color w:val="6A6470"/>
          <w:sz w:val="18"/>
        </w:rPr>
        <w:t>Reference OP-GLO-2026-08  |  As of 18 Aug 2026  |  Synthetic internal reference</w:t>
      </w:r>
    </w:p>
    <w:p>
      <w:pPr/>
      <w:r>
        <w:t>A compact, plain-language guide for interview and workforce-planning references. Requisition Alpha is a fictional People Analytics Partner opening with 3 planned openings and a planning band of JPY 7.2-8.4M.</w:t>
      </w:r>
    </w:p>
    <w:p>
      <w:pPr>
        <w:pStyle w:val="Heading1"/>
      </w:pPr>
      <w:r>
        <w:t>Core terms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8352"/>
      </w:tblGrid>
      <w:tr>
        <w:tc>
          <w:tcPr>
            <w:tcW w:type="dxa" w:w="5112"/>
            <w:shd w:fill="54206F"/>
            <w:tcBorders>
              <w:top w:val="single" w:sz="4" w:color="D8CADF"/>
              <w:left w:val="single" w:sz="4" w:color="D8CADF"/>
              <w:bottom w:val="single" w:sz="4" w:color="D8CADF"/>
              <w:right w:val="single" w:sz="4" w:color="D8CADF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fill="54206F"/>
            <w:tcBorders>
              <w:top w:val="single" w:sz="4" w:color="D8CADF"/>
              <w:left w:val="single" w:sz="4" w:color="D8CADF"/>
              <w:bottom w:val="single" w:sz="4" w:color="D8CADF"/>
              <w:right w:val="single" w:sz="4" w:color="D8CADF"/>
            </w:tcBorders>
            <w:vAlign w:val="center"/>
          </w:tcPr>
          <w:p>
            <w:r>
              <w:rPr>
                <w:b/>
                <w:color w:val="FFFFFF"/>
                <w:sz w:val="18"/>
              </w:rPr>
              <w:t>Working definition</w:t>
            </w:r>
          </w:p>
        </w:tc>
      </w:tr>
      <w:tr>
        <w:tc>
          <w:tcPr>
            <w:tcW w:type="dxa" w:w="2232"/>
            <w:tcBorders>
              <w:top w:val="single" w:sz="4" w:color="D8CADF"/>
              <w:left w:val="single" w:sz="4" w:color="D8CADF"/>
              <w:bottom w:val="single" w:sz="4" w:color="D8CADF"/>
              <w:right w:val="single" w:sz="4" w:color="D8CADF"/>
            </w:tcBorders>
            <w:vAlign w:val="center"/>
            <w:shd w:fill="F3EDF6"/>
          </w:tcPr>
          <w:p>
            <w:pPr>
              <w:spacing w:after="60" w:before="60"/>
            </w:pPr>
            <w:r>
              <w:rPr>
                <w:b/>
              </w:rPr>
              <w:t>Calibration</w:t>
            </w:r>
          </w:p>
        </w:tc>
        <w:tc>
          <w:tcPr>
            <w:tcW w:type="dxa" w:w="8352"/>
            <w:tcBorders>
              <w:top w:val="single" w:sz="4" w:color="D8CADF"/>
              <w:left w:val="single" w:sz="4" w:color="D8CADF"/>
              <w:bottom w:val="single" w:sz="4" w:color="D8CADF"/>
              <w:right w:val="single" w:sz="4" w:color="D8CADF"/>
            </w:tcBorders>
            <w:vAlign w:val="center"/>
          </w:tcPr>
          <w:p>
            <w:pPr>
              <w:spacing w:after="60" w:before="60"/>
            </w:pPr>
            <w:r>
              <w:t>A structured conversation used to align how a panel applies evidence and ratings; it is not a decision made from one person’s preference.</w:t>
            </w:r>
          </w:p>
        </w:tc>
      </w:tr>
      <w:tr>
        <w:tc>
          <w:tcPr>
            <w:tcW w:type="dxa" w:w="2232"/>
            <w:tcBorders>
              <w:top w:val="single" w:sz="4" w:color="D8CADF"/>
              <w:left w:val="single" w:sz="4" w:color="D8CADF"/>
              <w:bottom w:val="single" w:sz="4" w:color="D8CADF"/>
              <w:right w:val="single" w:sz="4" w:color="D8CADF"/>
            </w:tcBorders>
            <w:vAlign w:val="center"/>
            <w:shd w:fill="F3EDF6"/>
          </w:tcPr>
          <w:p>
            <w:pPr>
              <w:spacing w:after="60" w:before="60"/>
            </w:pPr>
            <w:r>
              <w:rPr>
                <w:b/>
              </w:rPr>
              <w:t>Competency</w:t>
            </w:r>
          </w:p>
        </w:tc>
        <w:tc>
          <w:tcPr>
            <w:tcW w:type="dxa" w:w="8352"/>
            <w:tcBorders>
              <w:top w:val="single" w:sz="4" w:color="D8CADF"/>
              <w:left w:val="single" w:sz="4" w:color="D8CADF"/>
              <w:bottom w:val="single" w:sz="4" w:color="D8CADF"/>
              <w:right w:val="single" w:sz="4" w:color="D8CADF"/>
            </w:tcBorders>
            <w:vAlign w:val="center"/>
          </w:tcPr>
          <w:p>
            <w:pPr>
              <w:spacing w:after="60" w:before="60"/>
            </w:pPr>
            <w:r>
              <w:t>An observable capability used to guide interview questions, work samples, and development conversations.</w:t>
            </w:r>
          </w:p>
        </w:tc>
      </w:tr>
      <w:tr>
        <w:tc>
          <w:tcPr>
            <w:tcW w:type="dxa" w:w="2232"/>
            <w:tcBorders>
              <w:top w:val="single" w:sz="4" w:color="D8CADF"/>
              <w:left w:val="single" w:sz="4" w:color="D8CADF"/>
              <w:bottom w:val="single" w:sz="4" w:color="D8CADF"/>
              <w:right w:val="single" w:sz="4" w:color="D8CADF"/>
            </w:tcBorders>
            <w:vAlign w:val="center"/>
            <w:shd w:fill="F3EDF6"/>
          </w:tcPr>
          <w:p>
            <w:pPr>
              <w:spacing w:after="60" w:before="60"/>
            </w:pPr>
            <w:r>
              <w:rPr>
                <w:b/>
              </w:rPr>
              <w:t>Evidence note</w:t>
            </w:r>
          </w:p>
        </w:tc>
        <w:tc>
          <w:tcPr>
            <w:tcW w:type="dxa" w:w="8352"/>
            <w:tcBorders>
              <w:top w:val="single" w:sz="4" w:color="D8CADF"/>
              <w:left w:val="single" w:sz="4" w:color="D8CADF"/>
              <w:bottom w:val="single" w:sz="4" w:color="D8CADF"/>
              <w:right w:val="single" w:sz="4" w:color="D8CADF"/>
            </w:tcBorders>
            <w:vAlign w:val="center"/>
          </w:tcPr>
          <w:p>
            <w:pPr>
              <w:spacing w:after="60" w:before="60"/>
            </w:pPr>
            <w:r>
              <w:t>A concise, job-related observation tied to a question or exercise; avoid speculation or personal detail.</w:t>
            </w:r>
          </w:p>
        </w:tc>
      </w:tr>
      <w:tr>
        <w:tc>
          <w:tcPr>
            <w:tcW w:type="dxa" w:w="2232"/>
            <w:tcBorders>
              <w:top w:val="single" w:sz="4" w:color="D8CADF"/>
              <w:left w:val="single" w:sz="4" w:color="D8CADF"/>
              <w:bottom w:val="single" w:sz="4" w:color="D8CADF"/>
              <w:right w:val="single" w:sz="4" w:color="D8CADF"/>
            </w:tcBorders>
            <w:vAlign w:val="center"/>
            <w:shd w:fill="F3EDF6"/>
          </w:tcPr>
          <w:p>
            <w:pPr>
              <w:spacing w:after="60" w:before="60"/>
            </w:pPr>
            <w:r>
              <w:rPr>
                <w:b/>
              </w:rPr>
              <w:t>Hiring panel</w:t>
            </w:r>
          </w:p>
        </w:tc>
        <w:tc>
          <w:tcPr>
            <w:tcW w:type="dxa" w:w="8352"/>
            <w:tcBorders>
              <w:top w:val="single" w:sz="4" w:color="D8CADF"/>
              <w:left w:val="single" w:sz="4" w:color="D8CADF"/>
              <w:bottom w:val="single" w:sz="4" w:color="D8CADF"/>
              <w:right w:val="single" w:sz="4" w:color="D8CADF"/>
            </w:tcBorders>
            <w:vAlign w:val="center"/>
          </w:tcPr>
          <w:p>
            <w:pPr>
              <w:spacing w:after="60" w:before="60"/>
            </w:pPr>
            <w:r>
              <w:t>The role-based group that reviews structured evidence against the approved rubric.</w:t>
            </w:r>
          </w:p>
        </w:tc>
      </w:tr>
      <w:tr>
        <w:tc>
          <w:tcPr>
            <w:tcW w:type="dxa" w:w="2232"/>
            <w:tcBorders>
              <w:top w:val="single" w:sz="4" w:color="D8CADF"/>
              <w:left w:val="single" w:sz="4" w:color="D8CADF"/>
              <w:bottom w:val="single" w:sz="4" w:color="D8CADF"/>
              <w:right w:val="single" w:sz="4" w:color="D8CADF"/>
            </w:tcBorders>
            <w:vAlign w:val="center"/>
            <w:shd w:fill="F3EDF6"/>
          </w:tcPr>
          <w:p>
            <w:pPr>
              <w:spacing w:after="60" w:before="60"/>
            </w:pPr>
            <w:r>
              <w:rPr>
                <w:b/>
              </w:rPr>
              <w:t>Planning band</w:t>
            </w:r>
          </w:p>
        </w:tc>
        <w:tc>
          <w:tcPr>
            <w:tcW w:type="dxa" w:w="8352"/>
            <w:tcBorders>
              <w:top w:val="single" w:sz="4" w:color="D8CADF"/>
              <w:left w:val="single" w:sz="4" w:color="D8CADF"/>
              <w:bottom w:val="single" w:sz="4" w:color="D8CADF"/>
              <w:right w:val="single" w:sz="4" w:color="D8CADF"/>
            </w:tcBorders>
            <w:vAlign w:val="center"/>
          </w:tcPr>
          <w:p>
            <w:pPr>
              <w:spacing w:after="60" w:before="60"/>
            </w:pPr>
            <w:r>
              <w:t>A non-binding compensation planning range used for approved requisition design; it is not an individual pay record.</w:t>
            </w:r>
          </w:p>
        </w:tc>
      </w:tr>
      <w:tr>
        <w:tc>
          <w:tcPr>
            <w:tcW w:type="dxa" w:w="2232"/>
            <w:tcBorders>
              <w:top w:val="single" w:sz="4" w:color="D8CADF"/>
              <w:left w:val="single" w:sz="4" w:color="D8CADF"/>
              <w:bottom w:val="single" w:sz="4" w:color="D8CADF"/>
              <w:right w:val="single" w:sz="4" w:color="D8CADF"/>
            </w:tcBorders>
            <w:vAlign w:val="center"/>
            <w:shd w:fill="F3EDF6"/>
          </w:tcPr>
          <w:p>
            <w:pPr>
              <w:spacing w:after="60" w:before="60"/>
            </w:pPr>
            <w:r>
              <w:rPr>
                <w:b/>
              </w:rPr>
              <w:t>Requisition Alpha</w:t>
            </w:r>
          </w:p>
        </w:tc>
        <w:tc>
          <w:tcPr>
            <w:tcW w:type="dxa" w:w="8352"/>
            <w:tcBorders>
              <w:top w:val="single" w:sz="4" w:color="D8CADF"/>
              <w:left w:val="single" w:sz="4" w:color="D8CADF"/>
              <w:bottom w:val="single" w:sz="4" w:color="D8CADF"/>
              <w:right w:val="single" w:sz="4" w:color="D8CADF"/>
            </w:tcBorders>
            <w:vAlign w:val="center"/>
          </w:tcPr>
          <w:p>
            <w:pPr>
              <w:spacing w:after="60" w:before="60"/>
            </w:pPr>
            <w:r>
              <w:t>Synthetic reference opening: People Analytics Partner, 3 planned openings, JPY 7.2-8.4M planning band.</w:t>
            </w:r>
          </w:p>
        </w:tc>
      </w:tr>
      <w:tr>
        <w:tc>
          <w:tcPr>
            <w:tcW w:type="dxa" w:w="2232"/>
            <w:tcBorders>
              <w:top w:val="single" w:sz="4" w:color="D8CADF"/>
              <w:left w:val="single" w:sz="4" w:color="D8CADF"/>
              <w:bottom w:val="single" w:sz="4" w:color="D8CADF"/>
              <w:right w:val="single" w:sz="4" w:color="D8CADF"/>
            </w:tcBorders>
            <w:vAlign w:val="center"/>
            <w:shd w:fill="F3EDF6"/>
          </w:tcPr>
          <w:p>
            <w:pPr>
              <w:spacing w:after="60" w:before="60"/>
            </w:pPr>
            <w:r>
              <w:rPr>
                <w:b/>
              </w:rPr>
              <w:t>Structured interview</w:t>
            </w:r>
          </w:p>
        </w:tc>
        <w:tc>
          <w:tcPr>
            <w:tcW w:type="dxa" w:w="8352"/>
            <w:tcBorders>
              <w:top w:val="single" w:sz="4" w:color="D8CADF"/>
              <w:left w:val="single" w:sz="4" w:color="D8CADF"/>
              <w:bottom w:val="single" w:sz="4" w:color="D8CADF"/>
              <w:right w:val="single" w:sz="4" w:color="D8CADF"/>
            </w:tcBorders>
            <w:vAlign w:val="center"/>
          </w:tcPr>
          <w:p>
            <w:pPr>
              <w:spacing w:after="60" w:before="60"/>
            </w:pPr>
            <w:r>
              <w:t>A consistent set of job-related prompts and anchored rating criteria used across interviewers.</w:t>
            </w:r>
          </w:p>
        </w:tc>
      </w:tr>
      <w:tr>
        <w:tc>
          <w:tcPr>
            <w:tcW w:type="dxa" w:w="2232"/>
            <w:tcBorders>
              <w:top w:val="single" w:sz="4" w:color="D8CADF"/>
              <w:left w:val="single" w:sz="4" w:color="D8CADF"/>
              <w:bottom w:val="single" w:sz="4" w:color="D8CADF"/>
              <w:right w:val="single" w:sz="4" w:color="D8CADF"/>
            </w:tcBorders>
            <w:vAlign w:val="center"/>
            <w:shd w:fill="F3EDF6"/>
          </w:tcPr>
          <w:p>
            <w:pPr>
              <w:spacing w:after="60" w:before="60"/>
            </w:pPr>
            <w:r>
              <w:rPr>
                <w:b/>
              </w:rPr>
              <w:t>Workforce signal</w:t>
            </w:r>
          </w:p>
        </w:tc>
        <w:tc>
          <w:tcPr>
            <w:tcW w:type="dxa" w:w="8352"/>
            <w:tcBorders>
              <w:top w:val="single" w:sz="4" w:color="D8CADF"/>
              <w:left w:val="single" w:sz="4" w:color="D8CADF"/>
              <w:bottom w:val="single" w:sz="4" w:color="D8CADF"/>
              <w:right w:val="single" w:sz="4" w:color="D8CADF"/>
            </w:tcBorders>
            <w:vAlign w:val="center"/>
          </w:tcPr>
          <w:p>
            <w:pPr>
              <w:spacing w:after="60" w:before="60"/>
            </w:pPr>
            <w:r>
              <w:t>An aggregated, non-identifying indicator used to inform capacity, skills, or process planning.</w:t>
            </w:r>
          </w:p>
        </w:tc>
      </w:tr>
    </w:tbl>
    <w:p>
      <w:pPr>
        <w:pStyle w:val="Heading1"/>
      </w:pPr>
      <w:r>
        <w:t>Use note</w:t>
      </w:r>
    </w:p>
    <w:p>
      <w:r>
        <w:t>Use these terms only for fictional reference materials. Do not attach personal records, contact details, employee identifiers, candidate data, signatures, or credentials to this library.</w:t>
      </w:r>
    </w:p>
    <w:sectPr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A6470"/>
        <w:sz w:val="16"/>
      </w:rPr>
      <w:t>Orchid People | Synthetic reference library | 18 Aug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421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7E7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4206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54206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Orchid People People Ops glossary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