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722F80"/>
          <w:sz w:val="18"/>
        </w:rPr>
        <w:t>ORCHID PEOPLE | LEARNING &amp; TRAINING</w:t>
      </w:r>
    </w:p>
    <w:p>
      <w:pPr>
        <w:spacing w:after="60"/>
      </w:pPr>
      <w:r>
        <w:rPr>
          <w:rFonts w:ascii="Calibri" w:hAnsi="Calibri"/>
          <w:b/>
          <w:color w:val="0B1830"/>
          <w:sz w:val="50"/>
        </w:rPr>
        <w:t>Facilitator Guide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Structured interview and calibration workshop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0"/>
        </w:rPr>
        <w:t>Prepared 2026-08-18 | Requisition Alpha | People Analytics Partner | 3 openings | JPY 7.2-8.4M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Session purpose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Enable interviewers to use the same competency definitions, anchors, and evidence-note habits for Requisition Alpha.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90-minute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1830"/>
                <w:sz w:val="20"/>
              </w:rPr>
              <w:t>Time</w:t>
            </w:r>
          </w:p>
        </w:tc>
        <w:tc>
          <w:tcPr>
            <w:tcW w:type="dxa" w:w="32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1830"/>
                <w:sz w:val="20"/>
              </w:rPr>
              <w:t>Activity</w:t>
            </w:r>
          </w:p>
        </w:tc>
        <w:tc>
          <w:tcPr>
            <w:tcW w:type="dxa" w:w="32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1830"/>
                <w:sz w:val="20"/>
              </w:rPr>
              <w:t>Facilitator move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0-10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Set context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Name the role, guardrails, and session contract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10-30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Competency practice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Model question and probe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30-55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Independent scoring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Keep scoring silent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55-75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Calibration huddle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Ask for evidence before advocacy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75-90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Commitment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Calibri" w:hAnsi="Calibri"/>
                <w:b w:val="0"/>
                <w:color w:val="0B1830"/>
                <w:sz w:val="20"/>
              </w:rPr>
              <w:t>Capture one next-interview change</w:t>
            </w:r>
          </w:p>
        </w:tc>
      </w:tr>
    </w:tbl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Facilitation prompts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What did you hear that maps to the competency?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Which anchor best matches the evidence?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What information are we assuming rather than observing?</w:t>
      </w:r>
    </w:p>
    <w:p>
      <w:pPr>
        <w:pStyle w:val="ListBullet"/>
      </w:pPr>
      <w:r>
        <w:rPr>
          <w:rFonts w:ascii="Calibri" w:hAnsi="Calibri"/>
          <w:b w:val="0"/>
          <w:color w:val="0B1830"/>
          <w:sz w:val="22"/>
        </w:rPr>
        <w:t>How will we make the candidate experience clear and respectful?</w:t>
      </w:r>
    </w:p>
    <w:p>
      <w:pPr>
        <w:pStyle w:val="Heading1"/>
        <w:spacing w:after="120" w:line="276" w:lineRule="auto"/>
      </w:pPr>
      <w:r>
        <w:rPr>
          <w:rFonts w:ascii="Calibri" w:hAnsi="Calibri"/>
          <w:b/>
          <w:color w:val="0B1830"/>
          <w:sz w:val="32"/>
        </w:rPr>
        <w:t>Materials</w:t>
      </w:r>
    </w:p>
    <w:p>
      <w:pPr>
        <w:spacing w:after="120" w:line="276" w:lineRule="auto"/>
      </w:pPr>
      <w:r>
        <w:rPr>
          <w:rFonts w:ascii="Calibri" w:hAnsi="Calibri"/>
          <w:b w:val="0"/>
          <w:color w:val="0B1830"/>
          <w:sz w:val="22"/>
        </w:rPr>
        <w:t>Use 00 Structured Interview Training, 01 Calibration Workshop, and 05 Participant Workbook. No personal candidate records are used in this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