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7324D"/>
          <w:sz w:val="40"/>
        </w:rPr>
        <w:t>Orchid People | Headcount Review Notes</w:t>
      </w:r>
    </w:p>
    <w:p>
      <w:r>
        <w:t>Synthetic planning review • As of 2026-08-18</w:t>
      </w:r>
    </w:p>
    <w:p>
      <w:pPr>
        <w:pStyle w:val="Heading1"/>
      </w:pPr>
      <w:r>
        <w:t>Decision summary</w:t>
      </w:r>
    </w:p>
    <w:p>
      <w:r>
        <w:t>Maintain the approved year-end plan of 196. The current headcount of 184 requires 12 net additions.</w:t>
      </w:r>
    </w:p>
    <w:p>
      <w:pPr>
        <w:pStyle w:val="Heading1"/>
      </w:pPr>
      <w:r>
        <w:t>Requisition capacity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Requisition</w:t>
            </w:r>
          </w:p>
        </w:tc>
        <w:tc>
          <w:tcPr>
            <w:tcW w:type="dxa" w:w="2556"/>
          </w:tcPr>
          <w:p>
            <w:r>
              <w:t>Role</w:t>
            </w:r>
          </w:p>
        </w:tc>
        <w:tc>
          <w:tcPr>
            <w:tcW w:type="dxa" w:w="2556"/>
          </w:tcPr>
          <w:p>
            <w:r>
              <w:t>Openings</w:t>
            </w:r>
          </w:p>
        </w:tc>
        <w:tc>
          <w:tcPr>
            <w:tcW w:type="dxa" w:w="2556"/>
          </w:tcPr>
          <w:p>
            <w:r>
              <w:t>Planning band</w:t>
            </w:r>
          </w:p>
        </w:tc>
      </w:tr>
      <w:tr>
        <w:tc>
          <w:tcPr>
            <w:tcW w:type="dxa" w:w="2556"/>
            <w:vAlign w:val="center"/>
          </w:tcPr>
          <w:p>
            <w:r>
              <w:t>REQ-ALPHA</w:t>
            </w:r>
          </w:p>
        </w:tc>
        <w:tc>
          <w:tcPr>
            <w:tcW w:type="dxa" w:w="2556"/>
            <w:vAlign w:val="center"/>
          </w:tcPr>
          <w:p>
            <w:r>
              <w:t>People Analytics Partner</w:t>
            </w:r>
          </w:p>
        </w:tc>
        <w:tc>
          <w:tcPr>
            <w:tcW w:type="dxa" w:w="2556"/>
            <w:vAlign w:val="center"/>
          </w:tcPr>
          <w:p>
            <w:r>
              <w:t>3</w:t>
            </w:r>
          </w:p>
        </w:tc>
        <w:tc>
          <w:tcPr>
            <w:tcW w:type="dxa" w:w="2556"/>
            <w:vAlign w:val="center"/>
          </w:tcPr>
          <w:p>
            <w:r>
              <w:t>JPY 7.2-8.4M</w:t>
            </w:r>
          </w:p>
        </w:tc>
      </w:tr>
      <w:tr>
        <w:tc>
          <w:tcPr>
            <w:tcW w:type="dxa" w:w="2556"/>
            <w:vAlign w:val="center"/>
          </w:tcPr>
          <w:p>
            <w:r>
              <w:t>REQ-BETA</w:t>
            </w:r>
          </w:p>
        </w:tc>
        <w:tc>
          <w:tcPr>
            <w:tcW w:type="dxa" w:w="2556"/>
            <w:vAlign w:val="center"/>
          </w:tcPr>
          <w:p>
            <w:r>
              <w:t>Talent Operations Specialist</w:t>
            </w:r>
          </w:p>
        </w:tc>
        <w:tc>
          <w:tcPr>
            <w:tcW w:type="dxa" w:w="2556"/>
            <w:vAlign w:val="center"/>
          </w:tcPr>
          <w:p>
            <w:r>
              <w:t>2</w:t>
            </w:r>
          </w:p>
        </w:tc>
        <w:tc>
          <w:tcPr>
            <w:tcW w:type="dxa" w:w="2556"/>
            <w:vAlign w:val="center"/>
          </w:tcPr>
          <w:p>
            <w:r>
              <w:t>JPY 5.8-6.8M</w:t>
            </w:r>
          </w:p>
        </w:tc>
      </w:tr>
    </w:tbl>
    <w:p>
      <w:pPr>
        <w:pStyle w:val="Heading1"/>
      </w:pPr>
      <w:r>
        <w:t>Operating notes</w:t>
      </w:r>
    </w:p>
    <w:p>
      <w:pPr>
        <w:pStyle w:val="ListBullet"/>
      </w:pPr>
      <w:r>
        <w:t>Review starts and exits monthly at department level.</w:t>
      </w:r>
    </w:p>
    <w:p>
      <w:pPr>
        <w:pStyle w:val="ListBullet"/>
      </w:pPr>
      <w:r>
        <w:t>Use formulas in the companion workbooks as the editable source of truth.</w:t>
      </w:r>
    </w:p>
    <w:p>
      <w:pPr>
        <w:pStyle w:val="ListBullet"/>
      </w:pPr>
      <w:r>
        <w:t>This record excludes employee and candidate information; all figures are synthetic aggregates.</w:t>
      </w:r>
    </w:p>
    <w:p>
      <w:r>
        <w:t>Prepared for People Ops steering. No personal data included.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4374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