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4D78"/>
          <w:sz w:val="44"/>
        </w:rPr>
        <w:t>Performance Cycle Retrospective</w:t>
      </w:r>
    </w:p>
    <w:p>
      <w:pPr>
        <w:spacing w:after="280"/>
      </w:pPr>
      <w:r>
        <w:rPr>
          <w:i/>
          <w:color w:val="555555"/>
        </w:rPr>
        <w:t>H1 2026 | Synthetic program review | 2026-08-18</w:t>
      </w:r>
    </w:p>
    <w:p>
      <w:pPr>
        <w:pStyle w:val="Heading1"/>
      </w:pPr>
      <w:r>
        <w:t>Executive summary</w:t>
      </w:r>
    </w:p>
    <w:p>
      <w:r>
        <w:t>Orchid People completed a synthetic H1 2026 review exercise across 36 pseudonymous records. The exercise tested tracker integrity, calibration consistency, and privacy-safe documentation. Ratings and outcomes reconciled across the dataset, tracker, and calibration analysis.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6048"/>
            <w:vAlign w:val="center"/>
            <w:shd w:fill="E8EEF5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Synthetic records reviewed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Rating distribution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5: 5 | 4: 17 | 3: 11 | 2: 3 | 1: 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Calibration outcomes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Ready: 5 | Confirm: 17 | Develop: 11 | Support: 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Review date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2026-08-18</w:t>
            </w:r>
          </w:p>
        </w:tc>
      </w:tr>
    </w:tbl>
    <w:p/>
    <w:p>
      <w:pPr>
        <w:pStyle w:val="Heading1"/>
      </w:pPr>
      <w:r>
        <w:t>What worked</w:t>
      </w:r>
    </w:p>
    <w:p>
      <w:pPr>
        <w:pStyle w:val="ListBullet"/>
      </w:pPr>
      <w:r>
        <w:t>Stable SYN-E IDs made it possible to reconcile records without using names or employee identifiers.</w:t>
      </w:r>
    </w:p>
    <w:p>
      <w:pPr>
        <w:pStyle w:val="ListBullet"/>
      </w:pPr>
      <w:r>
        <w:t>Formula-driven workbooks kept counts and shares visible and auditable.</w:t>
      </w:r>
    </w:p>
    <w:p>
      <w:pPr>
        <w:pStyle w:val="ListBullet"/>
      </w:pPr>
      <w:r>
        <w:t>Team labels provided enough aggregation for discussion while avoiding individual-sensitive fields.</w:t>
      </w:r>
    </w:p>
    <w:p>
      <w:pPr>
        <w:pStyle w:val="Heading1"/>
      </w:pPr>
      <w:r>
        <w:t>What to improve</w:t>
      </w:r>
    </w:p>
    <w:p>
      <w:pPr>
        <w:pStyle w:val="ListBullet"/>
      </w:pPr>
      <w:r>
        <w:t>Add a standard evidence-quality checklist before calibration meetings.</w:t>
      </w:r>
    </w:p>
    <w:p>
      <w:pPr>
        <w:pStyle w:val="ListBullet"/>
      </w:pPr>
      <w:r>
        <w:t>Set a lightweight pre-read window so managers can verify goal progress before live discussion.</w:t>
      </w:r>
    </w:p>
    <w:p>
      <w:pPr>
        <w:pStyle w:val="ListBullet"/>
      </w:pPr>
      <w:r>
        <w:t>Keep outcome language action-oriented and separate from pay or other sensitive decisions.</w:t>
      </w:r>
    </w:p>
    <w:p>
      <w:pPr>
        <w:pStyle w:val="Heading1"/>
      </w:pPr>
      <w:r>
        <w:t>Observed pattern</w:t>
      </w:r>
    </w:p>
    <w:p>
      <w:r>
        <w:t>Most synthetic records were calibrated at ratings 3 or 4, with a smaller Ready cohort at 5 and three Support records at 2. This pattern is intentionally illustrative and must not be interpreted as an organizational benchmark.</w:t>
      </w:r>
    </w:p>
    <w:p>
      <w:pPr>
        <w:pStyle w:val="Heading1"/>
      </w:pPr>
      <w:r>
        <w:t>Next-cycle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vAlign w:val="center"/>
            <w:shd w:fill="E8EEF5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04"/>
            <w:vAlign w:val="center"/>
            <w:shd w:fill="E8EEF5"/>
          </w:tcPr>
          <w:p>
            <w:r/>
            <w:r>
              <w:rPr>
                <w:b/>
                <w:sz w:val="18"/>
              </w:rPr>
              <w:t>Owner role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Timing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Publish evidence checklist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People Operations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Before next cycle launch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Validate tracker formulas and fields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People Analytics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At cycle setup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Facilitate calibration practice session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Manager Enablement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Before calibration week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Run privacy review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People Operations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Before distribution</w:t>
            </w:r>
          </w:p>
        </w:tc>
      </w:tr>
    </w:tbl>
    <w:p/>
    <w:p>
      <w:pPr>
        <w:pStyle w:val="Heading1"/>
      </w:pPr>
      <w:r>
        <w:t>Privacy statement</w:t>
      </w:r>
    </w:p>
    <w:p>
      <w:r>
        <w:t>All records in this retrospective are synthetic. The materials contain no names, contact details, actual employee identifiers, individual pay, health, demographic, or protected-trait information.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records only | H1 2026 | 2026-08-18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Orchid People | Synthetic performance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