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People Operations Procedure Guide</w:t>
      </w:r>
    </w:p>
    <w:p>
      <w:r>
        <w:rPr>
          <w:i/>
          <w:color w:val="5A5064"/>
        </w:rPr>
        <w:t>Administering Orchid People internal synthetic policies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EDF5"/>
          </w:tcPr>
          <w:p>
            <w:r/>
            <w:r>
              <w:rPr>
                <w:b w:val="0"/>
                <w:sz w:val="18"/>
              </w:rPr>
              <w:t>Owner: People Operations</w:t>
            </w:r>
          </w:p>
        </w:tc>
        <w:tc>
          <w:tcPr>
            <w:tcW w:type="dxa" w:w="3293"/>
            <w:shd w:fill="F2EDF5"/>
          </w:tcPr>
          <w:p>
            <w:r/>
            <w:r>
              <w:rPr>
                <w:b w:val="0"/>
                <w:sz w:val="18"/>
              </w:rPr>
              <w:t>Effective: 18 August 2026</w:t>
            </w:r>
          </w:p>
        </w:tc>
        <w:tc>
          <w:tcPr>
            <w:tcW w:type="dxa" w:w="3293"/>
            <w:shd w:fill="F2EDF5"/>
          </w:tcPr>
          <w:p>
            <w:r/>
            <w:r>
              <w:rPr>
                <w:b w:val="0"/>
                <w:sz w:val="18"/>
              </w:rPr>
              <w:t>Review: 18 August 2027</w:t>
            </w:r>
          </w:p>
        </w:tc>
      </w:tr>
    </w:tbl>
    <w:p/>
    <w:p>
      <w:pPr>
        <w:pStyle w:val="Heading1"/>
      </w:pPr>
      <w:r>
        <w:t>Purpose</w:t>
      </w:r>
    </w:p>
    <w:p>
      <w:r>
        <w:t>This guide explains how People Operations administers the internal synthetic policy suite. It is an operating guide, not legal advice.</w:t>
      </w:r>
    </w:p>
    <w:p>
      <w:pPr>
        <w:pStyle w:val="Heading1"/>
      </w:pPr>
      <w:r>
        <w:t>Standard procedure</w:t>
      </w:r>
    </w:p>
    <w:p>
      <w:pPr>
        <w:pStyle w:val="ListBullet"/>
      </w:pPr>
      <w:r>
        <w:t>Confirm the applicable policy and current version before advising.</w:t>
      </w:r>
    </w:p>
    <w:p>
      <w:pPr>
        <w:pStyle w:val="ListBullet"/>
      </w:pPr>
      <w:r>
        <w:t>Use role labels and minimum necessary information in all process records.</w:t>
      </w:r>
    </w:p>
    <w:p>
      <w:pPr>
        <w:pStyle w:val="ListBullet"/>
      </w:pPr>
      <w:r>
        <w:t>Check for conflict, equal opportunity, flexible work, referral, and candidate data impacts.</w:t>
      </w:r>
    </w:p>
    <w:p>
      <w:pPr>
        <w:pStyle w:val="ListBullet"/>
      </w:pPr>
      <w:r>
        <w:t>Record a clear decision, owner, effective period, and review date in the approved workflow.</w:t>
      </w:r>
    </w:p>
    <w:p>
      <w:pPr>
        <w:pStyle w:val="Heading1"/>
      </w:pPr>
      <w:r>
        <w:t>Exception workflow</w:t>
      </w:r>
    </w:p>
    <w:p>
      <w:pPr>
        <w:pStyle w:val="ListBullet"/>
      </w:pPr>
      <w:r>
        <w:t>Receive a written request describing the business need and duration.</w:t>
      </w:r>
    </w:p>
    <w:p>
      <w:pPr>
        <w:pStyle w:val="ListBullet"/>
      </w:pPr>
      <w:r>
        <w:t>Assess whether a standard route can meet the need; if not, identify proportional controls.</w:t>
      </w:r>
    </w:p>
    <w:p>
      <w:pPr>
        <w:pStyle w:val="ListBullet"/>
      </w:pPr>
      <w:r>
        <w:t>Obtain People Operations and accountable leader approval before implementation.</w:t>
      </w:r>
    </w:p>
    <w:p>
      <w:pPr>
        <w:pStyle w:val="ListBullet"/>
      </w:pPr>
      <w:r>
        <w:t>Set an expiry, communicate only the necessary operational instruction, and review closure.</w:t>
      </w:r>
    </w:p>
    <w:p>
      <w:pPr>
        <w:pStyle w:val="Heading1"/>
      </w:pPr>
      <w:r>
        <w:t>Quality checks</w:t>
      </w:r>
    </w:p>
    <w:p>
      <w:pPr>
        <w:pStyle w:val="ListBullet"/>
      </w:pPr>
      <w:r>
        <w:t>Monthly: sample completed cases for required fields and evidence.</w:t>
      </w:r>
    </w:p>
    <w:p>
      <w:pPr>
        <w:pStyle w:val="ListBullet"/>
      </w:pPr>
      <w:r>
        <w:t>Quarterly: review recurring exception themes and training needs.</w:t>
      </w:r>
    </w:p>
    <w:p>
      <w:pPr>
        <w:pStyle w:val="ListBullet"/>
      </w:pPr>
      <w:r>
        <w:t>Annually: refresh the policy suite and document version changes.</w:t>
      </w:r>
    </w:p>
    <w:p>
      <w:pPr>
        <w:pStyle w:val="Heading1"/>
      </w:pPr>
      <w:r>
        <w:t>Escalation boundaries</w:t>
      </w:r>
    </w:p>
    <w:p>
      <w:r>
        <w:t>Escalate uncertain legal, regulatory, safety, or privacy questions to the appropriate approved internal counsel or control owner. Do not represent this guide as legal advice.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8E0ED"/>
          </w:tcPr>
          <w:p>
            <w:r/>
            <w:r>
              <w:rPr>
                <w:b/>
                <w:sz w:val="18"/>
              </w:rPr>
              <w:t>Classification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8"/>
              </w:rPr>
              <w:t>Internal - synthetic training corpus</w:t>
            </w:r>
          </w:p>
        </w:tc>
      </w:tr>
      <w:tr>
        <w:tc>
          <w:tcPr>
            <w:tcW w:type="dxa" w:w="4939"/>
            <w:shd w:fill="E8E0ED"/>
          </w:tcPr>
          <w:p>
            <w:r/>
            <w:r>
              <w:rPr>
                <w:b/>
                <w:sz w:val="18"/>
              </w:rPr>
              <w:t>Policy authority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8"/>
              </w:rPr>
              <w:t>People Operations</w:t>
            </w:r>
          </w:p>
        </w:tc>
      </w:tr>
      <w:tr>
        <w:tc>
          <w:tcPr>
            <w:tcW w:type="dxa" w:w="4939"/>
            <w:shd w:fill="E8E0ED"/>
          </w:tcPr>
          <w:p>
            <w:r/>
            <w:r>
              <w:rPr>
                <w:b/>
                <w:sz w:val="18"/>
              </w:rPr>
              <w:t>Exception route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8"/>
              </w:rPr>
              <w:t>People Operations review before action</w:t>
            </w:r>
          </w:p>
        </w:tc>
      </w:tr>
      <w:tr>
        <w:tc>
          <w:tcPr>
            <w:tcW w:type="dxa" w:w="4939"/>
            <w:shd w:fill="E8E0ED"/>
          </w:tcPr>
          <w:p>
            <w:r/>
            <w:r>
              <w:rPr>
                <w:b/>
                <w:sz w:val="18"/>
              </w:rPr>
              <w:t>Version history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8"/>
              </w:rPr>
              <w:t>v1.0 | issued 18 August 2026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23" w:right="1181" w:bottom="112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473"/>
        <w:sz w:val="16"/>
      </w:rPr>
      <w:t>Orchid People | Internal synthetic policy | Procedure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421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7A3E7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F315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7A3E7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