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E7490"/>
          <w:sz w:val="20"/>
        </w:rPr>
        <w:t>ORCHID PEOPLE | LISTENING ACTION PLAN</w:t>
      </w:r>
    </w:p>
    <w:p>
      <w:pPr>
        <w:pStyle w:val="Title"/>
      </w:pPr>
      <w:r>
        <w:t>Turn the August engagement pulse into visible follow-through</w:t>
      </w:r>
    </w:p>
    <w:p>
      <w:pPr>
        <w:pStyle w:val="Subtitle"/>
      </w:pPr>
      <w:r>
        <w:t>As of 2026-08-18 | Synthetic aggregate | 118 valid responses</w:t>
      </w:r>
    </w:p>
    <w:tbl>
      <w:tblPr>
        <w:tblStyle w:val="LightShading-Accent1"/>
        <w:tblW w:type="auto" w:w="0"/>
        <w:jc w:val="left"/>
        <w:tblLook w:firstColumn="1" w:firstRow="1" w:lastColumn="0" w:lastRow="0" w:noHBand="0" w:noVBand="1" w:val="04A0"/>
      </w:tblPr>
      <w:tblGrid>
        <w:gridCol w:w="5040"/>
        <w:gridCol w:w="5040"/>
      </w:tblGrid>
      <w:tr>
        <w:tc>
          <w:tcPr>
            <w:tcW w:type="dxa" w:w="5040"/>
          </w:tcPr>
          <w:p>
            <w:r>
              <w:t>Signal</w:t>
            </w:r>
          </w:p>
        </w:tc>
        <w:tc>
          <w:tcPr>
            <w:tcW w:type="dxa" w:w="5040"/>
          </w:tcPr>
          <w:p>
            <w:r>
              <w:t>Engagement index 76/100; eNPS +24</w:t>
            </w:r>
          </w:p>
        </w:tc>
      </w:tr>
      <w:tr>
        <w:tc>
          <w:tcPr>
            <w:tcW w:type="dxa" w:w="5040"/>
          </w:tcPr>
          <w:p>
            <w:r>
              <w:t>Focus</w:t>
            </w:r>
          </w:p>
        </w:tc>
        <w:tc>
          <w:tcPr>
            <w:tcW w:type="dxa" w:w="5040"/>
          </w:tcPr>
          <w:p>
            <w:r>
              <w:t>Manager consistency and growth clarity</w:t>
            </w:r>
          </w:p>
        </w:tc>
      </w:tr>
      <w:tr>
        <w:tc>
          <w:tcPr>
            <w:tcW w:type="dxa" w:w="5040"/>
          </w:tcPr>
          <w:p>
            <w:r>
              <w:t>Guardrail</w:t>
            </w:r>
          </w:p>
        </w:tc>
        <w:tc>
          <w:tcPr>
            <w:tcW w:type="dxa" w:w="5040"/>
          </w:tcPr>
          <w:p>
            <w:r>
              <w:t>Report segments only when n &gt;= 10</w:t>
            </w:r>
          </w:p>
        </w:tc>
      </w:tr>
    </w:tbl>
    <w:p>
      <w:pPr>
        <w:pStyle w:val="Heading1"/>
      </w:pPr>
      <w:r>
        <w:t>What we will do in the next 30 days</w:t>
      </w:r>
    </w:p>
    <w:p>
      <w:pPr>
        <w:pStyle w:val="Heading2"/>
      </w:pPr>
      <w:r>
        <w:t>1. Close the loop</w:t>
      </w:r>
    </w:p>
    <w:p>
      <w:r>
        <w:t>Share the aggregate readout, the privacy rule, and the three commitments with all eligible employees.</w:t>
      </w:r>
    </w:p>
    <w:p>
      <w:pPr>
        <w:pStyle w:val="Heading2"/>
      </w:pPr>
      <w:r>
        <w:t>2. Equip managers</w:t>
      </w:r>
    </w:p>
    <w:p>
      <w:r>
        <w:t>Hold short manager listening huddles using a common guide: priorities, growth conversations, workload signals, and local follow-through.</w:t>
      </w:r>
    </w:p>
    <w:p>
      <w:pPr>
        <w:pStyle w:val="Heading2"/>
      </w:pPr>
      <w:r>
        <w:t>3. Clarify growth paths</w:t>
      </w:r>
    </w:p>
    <w:p>
      <w:r>
        <w:t>Calibrate role expectations and development language across functions, then publish a plain-language guide.</w:t>
      </w:r>
    </w:p>
    <w:p>
      <w:pPr>
        <w:pStyle w:val="Heading2"/>
      </w:pPr>
      <w:r>
        <w:t>4. Track visible progress</w:t>
      </w:r>
    </w:p>
    <w:p>
      <w:r>
        <w:t>Use a monthly action check-in to report what changed, what needs more time, and what will not be pursued.</w:t>
      </w:r>
    </w:p>
    <w:p>
      <w:pPr>
        <w:pStyle w:val="Heading1"/>
      </w:pPr>
      <w:r>
        <w:t>Action register</w:t>
      </w:r>
    </w:p>
    <w:tbl>
      <w:tblPr>
        <w:tblStyle w:val="LightShading-Accent1"/>
        <w:tblW w:type="auto" w:w="0"/>
        <w:jc w:val="left"/>
        <w:tblLook w:firstColumn="1" w:firstRow="1" w:lastColumn="0" w:lastRow="0" w:noHBand="0" w:noVBand="1" w:val="04A0"/>
      </w:tblPr>
      <w:tblGrid>
        <w:gridCol w:w="2520"/>
        <w:gridCol w:w="2520"/>
        <w:gridCol w:w="2520"/>
        <w:gridCol w:w="2520"/>
      </w:tblGrid>
      <w:tr>
        <w:tc>
          <w:tcPr>
            <w:tcW w:type="dxa" w:w="2520"/>
          </w:tcPr>
          <w:p>
            <w:r>
              <w:t>Action</w:t>
            </w:r>
          </w:p>
        </w:tc>
        <w:tc>
          <w:tcPr>
            <w:tcW w:type="dxa" w:w="2520"/>
          </w:tcPr>
          <w:p>
            <w:r>
              <w:t>Owner</w:t>
            </w:r>
          </w:p>
        </w:tc>
        <w:tc>
          <w:tcPr>
            <w:tcW w:type="dxa" w:w="2520"/>
          </w:tcPr>
          <w:p>
            <w:r>
              <w:t>Timing</w:t>
            </w:r>
          </w:p>
        </w:tc>
        <w:tc>
          <w:tcPr>
            <w:tcW w:type="dxa" w:w="2520"/>
          </w:tcPr>
          <w:p>
            <w:r>
              <w:t>Evidence of progress</w:t>
            </w:r>
          </w:p>
        </w:tc>
      </w:tr>
      <w:tr>
        <w:tc>
          <w:tcPr>
            <w:tcW w:type="dxa" w:w="2520"/>
            <w:vAlign w:val="center"/>
          </w:tcPr>
          <w:p>
            <w:r>
              <w:t>Publish aggregate readout</w:t>
            </w:r>
          </w:p>
        </w:tc>
        <w:tc>
          <w:tcPr>
            <w:tcW w:type="dxa" w:w="2520"/>
            <w:vAlign w:val="center"/>
          </w:tcPr>
          <w:p>
            <w:r>
              <w:t>People Ops</w:t>
            </w:r>
          </w:p>
        </w:tc>
        <w:tc>
          <w:tcPr>
            <w:tcW w:type="dxa" w:w="2520"/>
            <w:vAlign w:val="center"/>
          </w:tcPr>
          <w:p>
            <w:r>
              <w:t>Week 1</w:t>
            </w:r>
          </w:p>
        </w:tc>
        <w:tc>
          <w:tcPr>
            <w:tcW w:type="dxa" w:w="2520"/>
            <w:vAlign w:val="center"/>
          </w:tcPr>
          <w:p>
            <w:r>
              <w:t>Readout and action note available</w:t>
            </w:r>
          </w:p>
        </w:tc>
      </w:tr>
      <w:tr>
        <w:tc>
          <w:tcPr>
            <w:tcW w:type="dxa" w:w="2520"/>
            <w:vAlign w:val="center"/>
          </w:tcPr>
          <w:p>
            <w:r>
              <w:t>Manager listening huddles</w:t>
            </w:r>
          </w:p>
        </w:tc>
        <w:tc>
          <w:tcPr>
            <w:tcW w:type="dxa" w:w="2520"/>
            <w:vAlign w:val="center"/>
          </w:tcPr>
          <w:p>
            <w:r>
              <w:t>People managers</w:t>
            </w:r>
          </w:p>
        </w:tc>
        <w:tc>
          <w:tcPr>
            <w:tcW w:type="dxa" w:w="2520"/>
            <w:vAlign w:val="center"/>
          </w:tcPr>
          <w:p>
            <w:r>
              <w:t>Weeks 2-3</w:t>
            </w:r>
          </w:p>
        </w:tc>
        <w:tc>
          <w:tcPr>
            <w:tcW w:type="dxa" w:w="2520"/>
            <w:vAlign w:val="center"/>
          </w:tcPr>
          <w:p>
            <w:r>
              <w:t>Completion pulse and themes</w:t>
            </w:r>
          </w:p>
        </w:tc>
      </w:tr>
      <w:tr>
        <w:tc>
          <w:tcPr>
            <w:tcW w:type="dxa" w:w="2520"/>
            <w:vAlign w:val="center"/>
          </w:tcPr>
          <w:p>
            <w:r>
              <w:t>Growth-path calibration</w:t>
            </w:r>
          </w:p>
        </w:tc>
        <w:tc>
          <w:tcPr>
            <w:tcW w:type="dxa" w:w="2520"/>
            <w:vAlign w:val="center"/>
          </w:tcPr>
          <w:p>
            <w:r>
              <w:t>People Ops + leaders</w:t>
            </w:r>
          </w:p>
        </w:tc>
        <w:tc>
          <w:tcPr>
            <w:tcW w:type="dxa" w:w="2520"/>
            <w:vAlign w:val="center"/>
          </w:tcPr>
          <w:p>
            <w:r>
              <w:t>Weeks 2-4</w:t>
            </w:r>
          </w:p>
        </w:tc>
        <w:tc>
          <w:tcPr>
            <w:tcW w:type="dxa" w:w="2520"/>
            <w:vAlign w:val="center"/>
          </w:tcPr>
          <w:p>
            <w:r>
              <w:t>Consistent role language</w:t>
            </w:r>
          </w:p>
        </w:tc>
      </w:tr>
      <w:tr>
        <w:tc>
          <w:tcPr>
            <w:tcW w:type="dxa" w:w="2520"/>
            <w:vAlign w:val="center"/>
          </w:tcPr>
          <w:p>
            <w:r>
              <w:t>Progress check-in</w:t>
            </w:r>
          </w:p>
        </w:tc>
        <w:tc>
          <w:tcPr>
            <w:tcW w:type="dxa" w:w="2520"/>
            <w:vAlign w:val="center"/>
          </w:tcPr>
          <w:p>
            <w:r>
              <w:t>Leadership team</w:t>
            </w:r>
          </w:p>
        </w:tc>
        <w:tc>
          <w:tcPr>
            <w:tcW w:type="dxa" w:w="2520"/>
            <w:vAlign w:val="center"/>
          </w:tcPr>
          <w:p>
            <w:r>
              <w:t>Day 30</w:t>
            </w:r>
          </w:p>
        </w:tc>
        <w:tc>
          <w:tcPr>
            <w:tcW w:type="dxa" w:w="2520"/>
            <w:vAlign w:val="center"/>
          </w:tcPr>
          <w:p>
            <w:r>
              <w:t>Public status update</w:t>
            </w:r>
          </w:p>
        </w:tc>
      </w:tr>
    </w:tbl>
    <w:p>
      <w:pPr>
        <w:pStyle w:val="Heading1"/>
      </w:pPr>
      <w:r>
        <w:t>Privacy and use</w:t>
      </w:r>
    </w:p>
    <w:p>
      <w:r>
        <w:t>This plan uses synthetic, aggregated response data only. It contains no names, contact details, employee IDs, sensitive demographic fields, or personal free text. Segment reporting is restricted to groups with at least 10 responses.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Orchid People | Synthetic listening action plan | 2026-08-18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E749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