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b/>
          <w:i w:val="0"/>
          <w:color w:val="2E74B5"/>
          <w:sz w:val="18"/>
        </w:rPr>
        <w:t>OFFER PACKAGE</w:t>
      </w:r>
    </w:p>
    <w:p>
      <w:pPr>
        <w:spacing w:after="80"/>
      </w:pPr>
      <w:r>
        <w:rPr>
          <w:rFonts w:ascii="Calibri" w:hAnsi="Calibri"/>
          <w:b/>
          <w:i w:val="0"/>
          <w:color w:val="0B2545"/>
          <w:sz w:val="46"/>
        </w:rPr>
        <w:t>Requisition Alpha Offer Package</w:t>
      </w:r>
    </w:p>
    <w:p>
      <w:pPr>
        <w:spacing w:after="280"/>
      </w:pPr>
      <w:r>
        <w:rPr>
          <w:rFonts w:ascii="Calibri" w:hAnsi="Calibri"/>
          <w:b w:val="0"/>
          <w:i w:val="0"/>
          <w:color w:val="555555"/>
          <w:sz w:val="22"/>
        </w:rPr>
        <w:t>Controlled compensation and approval reference | SYNTHETIC</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E8EEF5"/>
          </w:tcPr>
          <w:p>
            <w:r/>
            <w:r>
              <w:rPr>
                <w:rFonts w:ascii="Calibri" w:hAnsi="Calibri"/>
                <w:b/>
                <w:i w:val="0"/>
                <w:color w:val="1F4D78"/>
                <w:sz w:val="20"/>
              </w:rPr>
              <w:t>Requisition</w:t>
            </w:r>
          </w:p>
        </w:tc>
        <w:tc>
          <w:tcPr>
            <w:tcW w:type="dxa" w:w="7560"/>
          </w:tcPr>
          <w:p>
            <w:r/>
            <w:r>
              <w:rPr>
                <w:rFonts w:ascii="Calibri" w:hAnsi="Calibri"/>
                <w:b w:val="0"/>
                <w:i w:val="0"/>
                <w:color w:val="0B2545"/>
                <w:sz w:val="20"/>
              </w:rPr>
              <w:t>People Analytics Partner - three openings</w:t>
            </w:r>
          </w:p>
        </w:tc>
      </w:tr>
      <w:tr>
        <w:tc>
          <w:tcPr>
            <w:tcW w:type="dxa" w:w="1800"/>
            <w:shd w:fill="E8EEF5"/>
          </w:tcPr>
          <w:p>
            <w:r/>
            <w:r>
              <w:rPr>
                <w:rFonts w:ascii="Calibri" w:hAnsi="Calibri"/>
                <w:b/>
                <w:i w:val="0"/>
                <w:color w:val="1F4D78"/>
                <w:sz w:val="20"/>
              </w:rPr>
              <w:t>Location</w:t>
            </w:r>
          </w:p>
        </w:tc>
        <w:tc>
          <w:tcPr>
            <w:tcW w:type="dxa" w:w="7560"/>
          </w:tcPr>
          <w:p>
            <w:r/>
            <w:r>
              <w:rPr>
                <w:rFonts w:ascii="Calibri" w:hAnsi="Calibri"/>
                <w:b w:val="0"/>
                <w:i w:val="0"/>
                <w:color w:val="0B2545"/>
                <w:sz w:val="20"/>
              </w:rPr>
              <w:t>Tokyo hybrid</w:t>
            </w:r>
          </w:p>
        </w:tc>
      </w:tr>
      <w:tr>
        <w:tc>
          <w:tcPr>
            <w:tcW w:type="dxa" w:w="1800"/>
            <w:shd w:fill="E8EEF5"/>
          </w:tcPr>
          <w:p>
            <w:r/>
            <w:r>
              <w:rPr>
                <w:rFonts w:ascii="Calibri" w:hAnsi="Calibri"/>
                <w:b/>
                <w:i w:val="0"/>
                <w:color w:val="1F4D78"/>
                <w:sz w:val="20"/>
              </w:rPr>
              <w:t>Compensation band</w:t>
            </w:r>
          </w:p>
        </w:tc>
        <w:tc>
          <w:tcPr>
            <w:tcW w:type="dxa" w:w="7560"/>
          </w:tcPr>
          <w:p>
            <w:r/>
            <w:r>
              <w:rPr>
                <w:rFonts w:ascii="Calibri" w:hAnsi="Calibri"/>
                <w:b w:val="0"/>
                <w:i w:val="0"/>
                <w:color w:val="0B2545"/>
                <w:sz w:val="20"/>
              </w:rPr>
              <w:t>JPY 7.2M - JPY 8.4M annual base</w:t>
            </w:r>
          </w:p>
        </w:tc>
      </w:tr>
      <w:tr>
        <w:tc>
          <w:tcPr>
            <w:tcW w:type="dxa" w:w="1800"/>
            <w:shd w:fill="E8EEF5"/>
          </w:tcPr>
          <w:p>
            <w:r/>
            <w:r>
              <w:rPr>
                <w:rFonts w:ascii="Calibri" w:hAnsi="Calibri"/>
                <w:b/>
                <w:i w:val="0"/>
                <w:color w:val="1F4D78"/>
                <w:sz w:val="20"/>
              </w:rPr>
              <w:t>Status</w:t>
            </w:r>
          </w:p>
        </w:tc>
        <w:tc>
          <w:tcPr>
            <w:tcW w:type="dxa" w:w="7560"/>
          </w:tcPr>
          <w:p>
            <w:r/>
            <w:r>
              <w:rPr>
                <w:rFonts w:ascii="Calibri" w:hAnsi="Calibri"/>
                <w:b w:val="0"/>
                <w:i w:val="0"/>
                <w:color w:val="0B2545"/>
                <w:sz w:val="20"/>
              </w:rPr>
              <w:t>Approval-ready; no verbal or written offer until approvals complete</w:t>
            </w:r>
          </w:p>
        </w:tc>
      </w:tr>
    </w:tbl>
    <w:p>
      <w:pPr>
        <w:spacing w:after="40"/>
      </w:pPr>
    </w:p>
    <w:p>
      <w:pPr>
        <w:pStyle w:val="Heading1"/>
      </w:pPr>
      <w:r>
        <w:t>Offer register</w:t>
      </w:r>
    </w:p>
    <w:tbl>
      <w:tblPr>
        <w:tblW w:type="dxa" w:w="9360"/>
        <w:jc w:val="left"/>
        <w:tblLayout w:type="fixed"/>
        <w:tblLook w:firstColumn="1" w:firstRow="1" w:lastColumn="0" w:lastRow="0" w:noHBand="0" w:noVBand="1" w:val="04A0"/>
        <w:tblInd w:w="120" w:type="dxa"/>
      </w:tblPr>
      <w:tblGrid>
        <w:gridCol w:w="1700"/>
        <w:gridCol w:w="2000"/>
        <w:gridCol w:w="3000"/>
        <w:gridCol w:w="2660"/>
      </w:tblGrid>
      <w:tr>
        <w:tc>
          <w:tcPr>
            <w:tcW w:type="dxa" w:w="1700"/>
            <w:tcMar>
              <w:top w:w="80" w:type="dxa"/>
              <w:start w:w="120" w:type="dxa"/>
              <w:bottom w:w="80" w:type="dxa"/>
              <w:end w:w="120" w:type="dxa"/>
            </w:tcMar>
            <w:vAlign w:val="center"/>
            <w:shd w:fill="E8EEF5"/>
          </w:tcPr>
          <w:p>
            <w:r/>
            <w:r>
              <w:rPr>
                <w:rFonts w:ascii="Calibri" w:hAnsi="Calibri"/>
                <w:b/>
                <w:i w:val="0"/>
                <w:color w:val="1F4D78"/>
                <w:sz w:val="18"/>
              </w:rPr>
              <w:t>Candidate ID</w:t>
            </w:r>
          </w:p>
        </w:tc>
        <w:tc>
          <w:tcPr>
            <w:tcW w:type="dxa" w:w="2000"/>
            <w:tcMar>
              <w:top w:w="80" w:type="dxa"/>
              <w:start w:w="120" w:type="dxa"/>
              <w:bottom w:w="80" w:type="dxa"/>
              <w:end w:w="120" w:type="dxa"/>
            </w:tcMar>
            <w:vAlign w:val="center"/>
            <w:shd w:fill="E8EEF5"/>
          </w:tcPr>
          <w:p>
            <w:r/>
            <w:r>
              <w:rPr>
                <w:rFonts w:ascii="Calibri" w:hAnsi="Calibri"/>
                <w:b/>
                <w:i w:val="0"/>
                <w:color w:val="1F4D78"/>
                <w:sz w:val="18"/>
              </w:rPr>
              <w:t>Annual base</w:t>
            </w:r>
          </w:p>
        </w:tc>
        <w:tc>
          <w:tcPr>
            <w:tcW w:type="dxa" w:w="3000"/>
            <w:tcMar>
              <w:top w:w="80" w:type="dxa"/>
              <w:start w:w="120" w:type="dxa"/>
              <w:bottom w:w="80" w:type="dxa"/>
              <w:end w:w="120" w:type="dxa"/>
            </w:tcMar>
            <w:vAlign w:val="center"/>
            <w:shd w:fill="E8EEF5"/>
          </w:tcPr>
          <w:p>
            <w:r/>
            <w:r>
              <w:rPr>
                <w:rFonts w:ascii="Calibri" w:hAnsi="Calibri"/>
                <w:b/>
                <w:i w:val="0"/>
                <w:color w:val="1F4D78"/>
                <w:sz w:val="18"/>
              </w:rPr>
              <w:t>Acceptance window</w:t>
            </w:r>
          </w:p>
        </w:tc>
        <w:tc>
          <w:tcPr>
            <w:tcW w:type="dxa" w:w="2660"/>
            <w:tcMar>
              <w:top w:w="80" w:type="dxa"/>
              <w:start w:w="120" w:type="dxa"/>
              <w:bottom w:w="80" w:type="dxa"/>
              <w:end w:w="120" w:type="dxa"/>
            </w:tcMar>
            <w:vAlign w:val="center"/>
            <w:shd w:fill="E8EEF5"/>
          </w:tcPr>
          <w:p>
            <w:r/>
            <w:r>
              <w:rPr>
                <w:rFonts w:ascii="Calibri" w:hAnsi="Calibri"/>
                <w:b/>
                <w:i w:val="0"/>
                <w:color w:val="1F4D78"/>
                <w:sz w:val="18"/>
              </w:rPr>
              <w:t>Approval state</w:t>
            </w:r>
          </w:p>
        </w:tc>
      </w:tr>
      <w:tr>
        <w:tc>
          <w:tcPr>
            <w:tcW w:type="dxa" w:w="1700"/>
          </w:tcPr>
          <w:p>
            <w:r/>
            <w:r>
              <w:rPr>
                <w:rFonts w:ascii="Calibri" w:hAnsi="Calibri"/>
                <w:b w:val="0"/>
                <w:i w:val="0"/>
                <w:color w:val="0B2545"/>
                <w:sz w:val="19"/>
              </w:rPr>
              <w:t>A01</w:t>
            </w:r>
          </w:p>
        </w:tc>
        <w:tc>
          <w:tcPr>
            <w:tcW w:type="dxa" w:w="2000"/>
          </w:tcPr>
          <w:p>
            <w:r/>
            <w:r>
              <w:rPr>
                <w:rFonts w:ascii="Calibri" w:hAnsi="Calibri"/>
                <w:b w:val="0"/>
                <w:i w:val="0"/>
                <w:color w:val="0B2545"/>
                <w:sz w:val="19"/>
              </w:rPr>
              <w:t>JPY 7,800,000</w:t>
            </w:r>
          </w:p>
        </w:tc>
        <w:tc>
          <w:tcPr>
            <w:tcW w:type="dxa" w:w="3000"/>
          </w:tcPr>
          <w:p>
            <w:r/>
            <w:r>
              <w:rPr>
                <w:rFonts w:ascii="Calibri" w:hAnsi="Calibri"/>
                <w:b w:val="0"/>
                <w:i w:val="0"/>
                <w:color w:val="0B2545"/>
                <w:sz w:val="19"/>
              </w:rPr>
              <w:t>5 calendar days after issue</w:t>
            </w:r>
          </w:p>
        </w:tc>
        <w:tc>
          <w:tcPr>
            <w:tcW w:type="dxa" w:w="2660"/>
          </w:tcPr>
          <w:p>
            <w:r/>
            <w:r>
              <w:rPr>
                <w:rFonts w:ascii="Calibri" w:hAnsi="Calibri"/>
                <w:b w:val="0"/>
                <w:i w:val="0"/>
                <w:color w:val="0B2545"/>
                <w:sz w:val="19"/>
              </w:rPr>
              <w:t>Pending documented approval</w:t>
            </w:r>
          </w:p>
        </w:tc>
      </w:tr>
      <w:tr>
        <w:tc>
          <w:tcPr>
            <w:tcW w:type="dxa" w:w="1700"/>
          </w:tcPr>
          <w:p>
            <w:r/>
            <w:r>
              <w:rPr>
                <w:rFonts w:ascii="Calibri" w:hAnsi="Calibri"/>
                <w:b w:val="0"/>
                <w:i w:val="0"/>
                <w:color w:val="0B2545"/>
                <w:sz w:val="19"/>
              </w:rPr>
              <w:t>A02</w:t>
            </w:r>
          </w:p>
        </w:tc>
        <w:tc>
          <w:tcPr>
            <w:tcW w:type="dxa" w:w="2000"/>
          </w:tcPr>
          <w:p>
            <w:r/>
            <w:r>
              <w:rPr>
                <w:rFonts w:ascii="Calibri" w:hAnsi="Calibri"/>
                <w:b w:val="0"/>
                <w:i w:val="0"/>
                <w:color w:val="0B2545"/>
                <w:sz w:val="19"/>
              </w:rPr>
              <w:t>JPY 8,100,000</w:t>
            </w:r>
          </w:p>
        </w:tc>
        <w:tc>
          <w:tcPr>
            <w:tcW w:type="dxa" w:w="3000"/>
          </w:tcPr>
          <w:p>
            <w:r/>
            <w:r>
              <w:rPr>
                <w:rFonts w:ascii="Calibri" w:hAnsi="Calibri"/>
                <w:b w:val="0"/>
                <w:i w:val="0"/>
                <w:color w:val="0B2545"/>
                <w:sz w:val="19"/>
              </w:rPr>
              <w:t>5 calendar days after issue</w:t>
            </w:r>
          </w:p>
        </w:tc>
        <w:tc>
          <w:tcPr>
            <w:tcW w:type="dxa" w:w="2660"/>
          </w:tcPr>
          <w:p>
            <w:r/>
            <w:r>
              <w:rPr>
                <w:rFonts w:ascii="Calibri" w:hAnsi="Calibri"/>
                <w:b w:val="0"/>
                <w:i w:val="0"/>
                <w:color w:val="0B2545"/>
                <w:sz w:val="19"/>
              </w:rPr>
              <w:t>Pending documented approval</w:t>
            </w:r>
          </w:p>
        </w:tc>
      </w:tr>
      <w:tr>
        <w:tc>
          <w:tcPr>
            <w:tcW w:type="dxa" w:w="1700"/>
          </w:tcPr>
          <w:p>
            <w:r/>
            <w:r>
              <w:rPr>
                <w:rFonts w:ascii="Calibri" w:hAnsi="Calibri"/>
                <w:b w:val="0"/>
                <w:i w:val="0"/>
                <w:color w:val="0B2545"/>
                <w:sz w:val="19"/>
              </w:rPr>
              <w:t>A03</w:t>
            </w:r>
          </w:p>
        </w:tc>
        <w:tc>
          <w:tcPr>
            <w:tcW w:type="dxa" w:w="2000"/>
          </w:tcPr>
          <w:p>
            <w:r/>
            <w:r>
              <w:rPr>
                <w:rFonts w:ascii="Calibri" w:hAnsi="Calibri"/>
                <w:b w:val="0"/>
                <w:i w:val="0"/>
                <w:color w:val="0B2545"/>
                <w:sz w:val="19"/>
              </w:rPr>
              <w:t>JPY 7,500,000</w:t>
            </w:r>
          </w:p>
        </w:tc>
        <w:tc>
          <w:tcPr>
            <w:tcW w:type="dxa" w:w="3000"/>
          </w:tcPr>
          <w:p>
            <w:r/>
            <w:r>
              <w:rPr>
                <w:rFonts w:ascii="Calibri" w:hAnsi="Calibri"/>
                <w:b w:val="0"/>
                <w:i w:val="0"/>
                <w:color w:val="0B2545"/>
                <w:sz w:val="19"/>
              </w:rPr>
              <w:t>5 calendar days after issue</w:t>
            </w:r>
          </w:p>
        </w:tc>
        <w:tc>
          <w:tcPr>
            <w:tcW w:type="dxa" w:w="2660"/>
          </w:tcPr>
          <w:p>
            <w:r/>
            <w:r>
              <w:rPr>
                <w:rFonts w:ascii="Calibri" w:hAnsi="Calibri"/>
                <w:b w:val="0"/>
                <w:i w:val="0"/>
                <w:color w:val="0B2545"/>
                <w:sz w:val="19"/>
              </w:rPr>
              <w:t>Pending documented approval</w:t>
            </w:r>
          </w:p>
        </w:tc>
      </w:tr>
    </w:tbl>
    <w:p/>
    <w:p>
      <w:pPr>
        <w:pStyle w:val="Heading1"/>
      </w:pPr>
      <w:r>
        <w:t>Required controls</w:t>
      </w:r>
    </w:p>
    <w:p>
      <w:pPr>
        <w:pStyle w:val="ListBullet"/>
        <w:spacing w:after="80"/>
        <w:ind w:left="720" w:hanging="360"/>
      </w:pPr>
      <w:r>
        <w:rPr>
          <w:rFonts w:ascii="Calibri" w:hAnsi="Calibri"/>
          <w:b w:val="0"/>
          <w:i w:val="0"/>
          <w:color w:val="0B2545"/>
          <w:sz w:val="22"/>
        </w:rPr>
        <w:t>Confirm requisition headcount remains at three openings before issue.</w:t>
      </w:r>
    </w:p>
    <w:p>
      <w:pPr>
        <w:pStyle w:val="ListBullet"/>
        <w:spacing w:after="80"/>
        <w:ind w:left="720" w:hanging="360"/>
      </w:pPr>
      <w:r>
        <w:rPr>
          <w:rFonts w:ascii="Calibri" w:hAnsi="Calibri"/>
          <w:b w:val="0"/>
          <w:i w:val="0"/>
          <w:color w:val="0B2545"/>
          <w:sz w:val="22"/>
        </w:rPr>
        <w:t>Obtain People Ops, Finance, and hiring-manager approvals for each candidate ID.</w:t>
      </w:r>
    </w:p>
    <w:p>
      <w:pPr>
        <w:pStyle w:val="ListBullet"/>
        <w:spacing w:after="80"/>
        <w:ind w:left="720" w:hanging="360"/>
      </w:pPr>
      <w:r>
        <w:rPr>
          <w:rFonts w:ascii="Calibri" w:hAnsi="Calibri"/>
          <w:b w:val="0"/>
          <w:i w:val="0"/>
          <w:color w:val="0B2545"/>
          <w:sz w:val="22"/>
        </w:rPr>
        <w:t>Use the approved letter template; do not add compensation, equity, relocation, or benefit promises outside this package.</w:t>
      </w:r>
    </w:p>
    <w:p>
      <w:pPr>
        <w:pStyle w:val="ListBullet"/>
        <w:spacing w:after="80"/>
        <w:ind w:left="720" w:hanging="360"/>
      </w:pPr>
      <w:r>
        <w:rPr>
          <w:rFonts w:ascii="Calibri" w:hAnsi="Calibri"/>
          <w:b w:val="0"/>
          <w:i w:val="0"/>
          <w:color w:val="0B2545"/>
          <w:sz w:val="22"/>
        </w:rPr>
        <w:t>Record only candidate IDs A01, A02, and A03 in internal artifacts.</w:t>
      </w:r>
    </w:p>
    <w:p>
      <w:pPr>
        <w:pStyle w:val="Heading2"/>
      </w:pPr>
      <w:r>
        <w:t>Common conditions</w:t>
      </w:r>
    </w:p>
    <w:p>
      <w:r>
        <w:rPr>
          <w:rFonts w:ascii="Calibri" w:hAnsi="Calibri"/>
          <w:b w:val="0"/>
          <w:i w:val="0"/>
          <w:color w:val="0B2545"/>
          <w:sz w:val="22"/>
        </w:rPr>
        <w:t>Each offer is contingent on completion of Orchid People pre-employment checks appropriate to the role, confirmation of work authorization where applicable, and final approval. No salary history, government ID, signature image, or real personal data is retained in this synthetic package.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55555"/>
        <w:sz w:val="16"/>
      </w:rPr>
      <w:t>Synthetic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55555"/>
        <w:sz w:val="16"/>
      </w:rPr>
      <w:t>ORCHID PEOPLE  |  OFFER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requisition alpha offer package jpy 7_2m 8_4m</dc:title>
  <dc:subject>Synthetic recruiting artifact</dc:subject>
  <dc:creator>Orchid People (Synthetic)</dc:creator>
  <cp:keywords/>
  <dc:description>generated by python-docx</dc:description>
  <cp:lastModifiedBy/>
  <cp:revision>1</cp:revision>
  <dcterms:created xsi:type="dcterms:W3CDTF">2013-12-23T23:15:00Z</dcterms:created>
  <dcterms:modified xsi:type="dcterms:W3CDTF">2013-12-23T23:15:00Z</dcterms:modified>
  <cp:category/>
</cp:coreProperties>
</file>