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/>
          <w:b/>
          <w:i w:val="0"/>
          <w:color w:val="2E74B5"/>
          <w:sz w:val="18"/>
        </w:rPr>
        <w:t>COMPENSATION RATIONALE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6"/>
        </w:rPr>
        <w:t>Compensation rationale - Role A</w:t>
      </w:r>
    </w:p>
    <w:p>
      <w:pPr>
        <w:spacing w:after="280"/>
      </w:pPr>
      <w:r>
        <w:rPr>
          <w:rFonts w:ascii="Calibri" w:hAnsi="Calibri"/>
          <w:b w:val="0"/>
          <w:i w:val="0"/>
          <w:color w:val="555555"/>
          <w:sz w:val="22"/>
        </w:rPr>
        <w:t>Band application and consistency check | SYNTHETIC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Band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JPY 7.2M - JPY 8.4M annual base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Role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People Analytics Partner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Policy posture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Equity-neutral benefits; no unapproved cash components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Review date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2026-08-24</w:t>
            </w:r>
          </w:p>
        </w:tc>
      </w:tr>
    </w:tbl>
    <w:p>
      <w:pPr>
        <w:spacing w:after="40"/>
      </w:pPr>
    </w:p>
    <w:p>
      <w:pPr>
        <w:pStyle w:val="Heading1"/>
      </w:pPr>
      <w:r>
        <w:t>Framework</w:t>
      </w:r>
    </w:p>
    <w:p>
      <w:r>
        <w:rPr>
          <w:rFonts w:ascii="Calibri" w:hAnsi="Calibri"/>
          <w:b w:val="0"/>
          <w:i w:val="0"/>
          <w:color w:val="0B2545"/>
          <w:sz w:val="22"/>
        </w:rPr>
        <w:t>Base salary is calibrated to role scope, demonstrated analytics partnership capability, internal band position, and available headcount. No salary history is considered or stored.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600"/>
        <w:gridCol w:w="2200"/>
        <w:gridCol w:w="41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Candidate 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Base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Band delta from floor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Decision note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A01</w:t>
            </w:r>
          </w:p>
        </w:tc>
        <w:tc>
          <w:tcPr>
            <w:tcW w:type="dxa" w:w="16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JPY 7.8M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JPY 0.6M</w:t>
            </w:r>
          </w:p>
        </w:tc>
        <w:tc>
          <w:tcPr>
            <w:tcW w:type="dxa" w:w="41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Mid-band anchor; balanced scope fit.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A02</w:t>
            </w:r>
          </w:p>
        </w:tc>
        <w:tc>
          <w:tcPr>
            <w:tcW w:type="dxa" w:w="16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JPY 8.1M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JPY 0.9M</w:t>
            </w:r>
          </w:p>
        </w:tc>
        <w:tc>
          <w:tcPr>
            <w:tcW w:type="dxa" w:w="41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Upper-mid calibration; still below ceiling.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A03</w:t>
            </w:r>
          </w:p>
        </w:tc>
        <w:tc>
          <w:tcPr>
            <w:tcW w:type="dxa" w:w="16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JPY 7.5M</w:t>
            </w:r>
          </w:p>
        </w:tc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JPY 0.3M</w:t>
            </w:r>
          </w:p>
        </w:tc>
        <w:tc>
          <w:tcPr>
            <w:tcW w:type="dxa" w:w="41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Lower-mid calibration; clear development runway.</w:t>
            </w:r>
          </w:p>
        </w:tc>
      </w:tr>
    </w:tbl>
    <w:p/>
    <w:p>
      <w:pPr>
        <w:pStyle w:val="Heading1"/>
      </w:pPr>
      <w:r>
        <w:t>Consistency guardrails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All three offers stay inside the published requisition range.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Offer distinctions are linked to role-relevant capability signals, not protected traits or personal history.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Standard benefits language is identical across candidates and does not create equity awards or equity-linked substitutes.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Any exception is escalated to People Ops and Finance before communication.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6"/>
      </w:rPr>
      <w:t>Synthetic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55555"/>
        <w:sz w:val="16"/>
      </w:rPr>
      <w:t>ORCHID PEOPLE  |  COMPENSATION RATIONALE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compensation rationale role a</dc:title>
  <dc:subject>Synthetic recruiting artifact</dc:subject>
  <dc:creator>Orchid People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