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60"/>
      </w:pPr>
      <w:r>
        <w:rPr>
          <w:rFonts w:ascii="Calibri" w:hAnsi="Calibri"/>
          <w:b/>
          <w:i w:val="0"/>
          <w:color w:val="2E74B5"/>
          <w:sz w:val="18"/>
        </w:rPr>
        <w:t>NEGOTIATION GUARDRAILS</w:t>
      </w:r>
    </w:p>
    <w:p>
      <w:pPr>
        <w:spacing w:after="80"/>
      </w:pPr>
      <w:r>
        <w:rPr>
          <w:rFonts w:ascii="Calibri" w:hAnsi="Calibri"/>
          <w:b/>
          <w:i w:val="0"/>
          <w:color w:val="0B2545"/>
          <w:sz w:val="46"/>
        </w:rPr>
        <w:t>Offer negotiation guardrails</w:t>
      </w:r>
    </w:p>
    <w:p>
      <w:pPr>
        <w:spacing w:after="280"/>
      </w:pPr>
      <w:r>
        <w:rPr>
          <w:rFonts w:ascii="Calibri" w:hAnsi="Calibri"/>
          <w:b w:val="0"/>
          <w:i w:val="0"/>
          <w:color w:val="555555"/>
          <w:sz w:val="22"/>
        </w:rPr>
        <w:t>Compact recruiter reference | SYNTHETIC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Applies to</w:t>
            </w:r>
          </w:p>
        </w:tc>
        <w:tc>
          <w:tcPr>
            <w:tcW w:type="dxa" w:w="756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People Analytics Partner / Requisition Alpha</w:t>
            </w:r>
          </w:p>
        </w:tc>
      </w:tr>
      <w:tr>
        <w:tc>
          <w:tcPr>
            <w:tcW w:type="dxa" w:w="1800"/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Approved range</w:t>
            </w:r>
          </w:p>
        </w:tc>
        <w:tc>
          <w:tcPr>
            <w:tcW w:type="dxa" w:w="756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JPY 7.2M - JPY 8.4M annual base</w:t>
            </w:r>
          </w:p>
        </w:tc>
      </w:tr>
      <w:tr>
        <w:tc>
          <w:tcPr>
            <w:tcW w:type="dxa" w:w="1800"/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Candidates</w:t>
            </w:r>
          </w:p>
        </w:tc>
        <w:tc>
          <w:tcPr>
            <w:tcW w:type="dxa" w:w="756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A01 / A02 / A03 only</w:t>
            </w:r>
          </w:p>
        </w:tc>
      </w:tr>
      <w:tr>
        <w:tc>
          <w:tcPr>
            <w:tcW w:type="dxa" w:w="1800"/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Escalation</w:t>
            </w:r>
          </w:p>
        </w:tc>
        <w:tc>
          <w:tcPr>
            <w:tcW w:type="dxa" w:w="756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People Ops + Finance</w:t>
            </w:r>
          </w:p>
        </w:tc>
      </w:tr>
    </w:tbl>
    <w:p>
      <w:pPr>
        <w:spacing w:after="40"/>
      </w:pPr>
    </w:p>
    <w:p>
      <w:pPr>
        <w:pStyle w:val="Heading1"/>
      </w:pPr>
      <w:r>
        <w:t>Recruiter may discuss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0B2545"/>
          <w:sz w:val="22"/>
        </w:rPr>
        <w:t>Role scope, Tokyo hybrid arrangement, start-date preferences, standard benefits eligibility, and the written acceptance window.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0B2545"/>
          <w:sz w:val="22"/>
        </w:rPr>
        <w:t>Approved annual base only after the corresponding approval record is complete.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0B2545"/>
          <w:sz w:val="22"/>
        </w:rPr>
        <w:t>Questions about the process, pre-employment checks, and preboarding timeline.</w:t>
      </w:r>
    </w:p>
    <w:p>
      <w:pPr>
        <w:pStyle w:val="Heading1"/>
      </w:pPr>
      <w:r>
        <w:t>Recruiter must not promise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0B2545"/>
          <w:sz w:val="22"/>
        </w:rPr>
        <w:t>Any compensation outside the approved range, sign-on payment, retention payment, equity, or equity-linked benefit.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0B2545"/>
          <w:sz w:val="22"/>
        </w:rPr>
        <w:t>A waiver of stated contingencies or an extension without documented approval.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0B2545"/>
          <w:sz w:val="22"/>
        </w:rPr>
        <w:t>Comparisons to other candidates, salary history requests, or any personal data not necessary for the process.</w:t>
      </w:r>
    </w:p>
    <w:p>
      <w:pPr>
        <w:pStyle w:val="Heading1"/>
      </w:pPr>
      <w:r>
        <w:t>Escalation path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4300"/>
        <w:gridCol w:w="24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Situation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Action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Owner</w:t>
            </w:r>
          </w:p>
        </w:tc>
      </w:tr>
      <w:tr>
        <w:tc>
          <w:tcPr>
            <w:tcW w:type="dxa" w:w="260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Counteroffer within band</w:t>
            </w:r>
          </w:p>
        </w:tc>
        <w:tc>
          <w:tcPr>
            <w:tcW w:type="dxa" w:w="430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Pause; document proposed amount and rationale.</w:t>
            </w:r>
          </w:p>
        </w:tc>
        <w:tc>
          <w:tcPr>
            <w:tcW w:type="dxa" w:w="246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Recruiter -&gt; People Ops</w:t>
            </w:r>
          </w:p>
        </w:tc>
      </w:tr>
      <w:tr>
        <w:tc>
          <w:tcPr>
            <w:tcW w:type="dxa" w:w="260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Counteroffer outside band</w:t>
            </w:r>
          </w:p>
        </w:tc>
        <w:tc>
          <w:tcPr>
            <w:tcW w:type="dxa" w:w="430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Do not negotiate verbally; request Finance review.</w:t>
            </w:r>
          </w:p>
        </w:tc>
        <w:tc>
          <w:tcPr>
            <w:tcW w:type="dxa" w:w="246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People Ops + Finance</w:t>
            </w:r>
          </w:p>
        </w:tc>
      </w:tr>
      <w:tr>
        <w:tc>
          <w:tcPr>
            <w:tcW w:type="dxa" w:w="260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Acceptance-window request</w:t>
            </w:r>
          </w:p>
        </w:tc>
        <w:tc>
          <w:tcPr>
            <w:tcW w:type="dxa" w:w="430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Confirm business need; approve before committing.</w:t>
            </w:r>
          </w:p>
        </w:tc>
        <w:tc>
          <w:tcPr>
            <w:tcW w:type="dxa" w:w="246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Hiring Manager + People Ops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55555"/>
        <w:sz w:val="16"/>
      </w:rPr>
      <w:t>Synthetic internal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55555"/>
        <w:sz w:val="16"/>
      </w:rPr>
      <w:t>ORCHID PEOPLE  |  NEGOTIATION GUARDRAILS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b w:val="0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offer negotiation guardrails</dc:title>
  <dc:subject>Synthetic recruiting artifact</dc:subject>
  <dc:creator>Orchid People (Synthetic)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