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70548D"/>
          <w:sz w:val="18"/>
        </w:rPr>
        <w:t>ORCHID PEOPLE | SYNTHETIC HIRING SCORECARD</w:t>
      </w:r>
    </w:p>
    <w:p>
      <w:pPr>
        <w:pStyle w:val="Title"/>
        <w:spacing w:after="80"/>
      </w:pPr>
      <w:r>
        <w:t>Candidate A01 - Qualification Scorecard</w:t>
      </w:r>
    </w:p>
    <w:p>
      <w:pPr>
        <w:spacing w:after="240"/>
      </w:pPr>
      <w:r>
        <w:rPr>
          <w:color w:val="526171"/>
          <w:sz w:val="18"/>
        </w:rPr>
        <w:t>People Analytics Partner | opened 2026-08-18 | Tokyo hybrid | 3 openings | compensation band JPY 7.2-8.4M</w:t>
      </w:r>
    </w:p>
    <w:p>
      <w:pPr>
        <w:pStyle w:val="Heading1"/>
      </w:pPr>
      <w:r>
        <w:t>Assessment snapshot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Competency</w:t>
            </w:r>
          </w:p>
        </w:tc>
        <w:tc>
          <w:tcPr>
            <w:tcW w:type="dxa" w:w="3360"/>
          </w:tcPr>
          <w:p>
            <w:r>
              <w:t>Evidence signal</w:t>
            </w:r>
          </w:p>
        </w:tc>
        <w:tc>
          <w:tcPr>
            <w:tcW w:type="dxa" w:w="3360"/>
          </w:tcPr>
          <w:p>
            <w:r>
              <w:t>Score / 5</w:t>
            </w:r>
          </w:p>
        </w:tc>
      </w:tr>
      <w:tr>
        <w:tc>
          <w:tcPr>
            <w:tcW w:type="dxa" w:w="3360"/>
          </w:tcPr>
          <w:p>
            <w:r>
              <w:t>Analytics fluency</w:t>
            </w:r>
          </w:p>
        </w:tc>
        <w:tc>
          <w:tcPr>
            <w:tcW w:type="dxa" w:w="3360"/>
          </w:tcPr>
          <w:p>
            <w:r>
              <w:t>Frames metrics around a decision and a data-quality check.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People partnership</w:t>
            </w:r>
          </w:p>
        </w:tc>
        <w:tc>
          <w:tcPr>
            <w:tcW w:type="dxa" w:w="3360"/>
          </w:tcPr>
          <w:p>
            <w:r>
              <w:t>Connects analysis to manager actions.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Communication</w:t>
            </w:r>
          </w:p>
        </w:tc>
        <w:tc>
          <w:tcPr>
            <w:tcW w:type="dxa" w:w="3360"/>
          </w:tcPr>
          <w:p>
            <w:r>
              <w:t>Uses concise, audience-aware explanations.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Responsible data practice</w:t>
            </w:r>
          </w:p>
        </w:tc>
        <w:tc>
          <w:tcPr>
            <w:tcW w:type="dxa" w:w="3360"/>
          </w:tcPr>
          <w:p>
            <w:r>
              <w:t>Recognizes minimum-access and purpose limitations.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</w:tbl>
    <w:p>
      <w:pPr>
        <w:pStyle w:val="Heading1"/>
      </w:pPr>
      <w:r>
        <w:t>Calibration notes</w:t>
      </w:r>
    </w:p>
    <w:p>
      <w:r>
        <w:t>Evidence is limited to synthetic, anonymized screening materials. Assess work-sample reasoning, stakeholder partnering, and responsible handling of people metrics during the next structured conversation.</w:t>
      </w:r>
    </w:p>
    <w:p>
      <w:pPr>
        <w:pStyle w:val="Heading1"/>
      </w:pPr>
      <w:r>
        <w:t>Recommended next step</w:t>
      </w:r>
    </w:p>
    <w:p>
      <w:r>
        <w:rPr>
          <w:b/>
        </w:rPr>
        <w:t>Advance to a 45-minute structured screen.</w:t>
      </w:r>
    </w:p>
    <w:p>
      <w:pPr/>
      <w:r>
        <w:t>Decision guardrails: use the same interview rubric for every candidate; do not collect or infer protected attributes; record only job-related evidence. Synthetic training sample.</w:t>
      </w:r>
    </w:p>
    <w:p>
      <w:pPr/>
      <w:r>
        <w:t>Prepared for recruiting calibration | 2026-08-18 | Orchid People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Calibr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