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5B2C6F"/>
          <w:sz w:val="40"/>
        </w:rPr>
        <w:t>Panel scorecard - A02</w:t>
      </w:r>
    </w:p>
    <w:p>
      <w:r>
        <w:rPr>
          <w:color w:val="203040"/>
          <w:sz w:val="20"/>
        </w:rPr>
        <w:t>Structured evidence record | 18 Aug 2026</w:t>
      </w:r>
    </w:p>
    <w:p>
      <w:r>
        <w:rPr>
          <w:color w:val="666666"/>
          <w:sz w:val="16"/>
        </w:rPr>
        <w:t>Orchid People | Requisition Alpha | People Analytics Partner | Tokyo hybrid | 18 Aug 2026 | Approved role range JPY 7.2-8.4M</w:t>
      </w:r>
    </w:p>
    <w:p>
      <w:pPr>
        <w:pStyle w:val="Heading1"/>
      </w:pPr>
      <w:r>
        <w:t>Decision summary</w:t>
      </w:r>
    </w:p>
    <w:p>
      <w:r>
        <w:t>A02: Advance. Evidence is limited to interview responses and the common work sample; panel calibration is required before a final outcome.</w:t>
      </w:r>
    </w:p>
    <w:p>
      <w:pPr>
        <w:pStyle w:val="Heading1"/>
      </w:pPr>
      <w:r>
        <w:t>Guardrails used</w:t>
      </w:r>
    </w:p>
    <w:p>
      <w:pPr>
        <w:pStyle w:val="ListBullet"/>
      </w:pPr>
      <w:r>
        <w:t>Candidate IDs only; no resumes, names, contact details, salary history, or real identifiers were reviewed.</w:t>
      </w:r>
    </w:p>
    <w:p>
      <w:pPr>
        <w:pStyle w:val="ListBullet"/>
      </w:pPr>
      <w:r>
        <w:t>All candidates received the same structured prompts, scoring anchors, and evidence threshold.</w:t>
      </w:r>
    </w:p>
    <w:p>
      <w:pPr>
        <w:pStyle w:val="ListBullet"/>
      </w:pPr>
      <w:r>
        <w:t>Accommodation and conflict-of-interest checks are completed before each panel; unsupported inferences are excluded.</w:t>
      </w:r>
    </w:p>
    <w:p>
      <w:pPr>
        <w:pStyle w:val="Heading1"/>
      </w:pPr>
      <w:r>
        <w:t>Competency rubric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6192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Observable standard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Analytical partnership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Translate workforce questions into measurable, decision-ready insight.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Stakeholder influence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Align People, Finance, and leaders with clear trade-offs.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Responsible data practice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Protect privacy and challenge biased assumptions.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Turn a scoped problem into a practical, adoption-ready plan.</w:t>
            </w:r>
          </w:p>
        </w:tc>
      </w:tr>
    </w:tbl>
    <w:p/>
    <w:p>
      <w:pPr>
        <w:pStyle w:val="Heading1"/>
      </w:pPr>
      <w:r>
        <w:t>Scored evidence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Competency</w:t>
            </w:r>
          </w:p>
        </w:tc>
        <w:tc>
          <w:tcPr>
            <w:tcW w:type="dxa" w:w="1008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Score / 5</w:t>
            </w:r>
          </w:p>
        </w:tc>
        <w:tc>
          <w:tcPr>
            <w:tcW w:type="dxa" w:w="5616"/>
            <w:vAlign w:val="center"/>
            <w:shd w:fill="5B2C6F"/>
          </w:tcPr>
          <w:p>
            <w:r/>
            <w:r>
              <w:rPr>
                <w:b/>
                <w:color w:val="FFFFFF"/>
                <w:sz w:val="18"/>
              </w:rPr>
              <w:t>Evidence note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Analytical partnership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Evidence aligns with the anchored behavioral indicator; panelist recorded a concrete example.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Stakeholder influence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Evidence aligns with the anchored behavioral indicator; panelist recorded a concrete example.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Responsible data practice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Evidence aligns with the anchored behavioral indicator; panelist recorded a concrete example.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Evidence aligns with the anchored behavioral indicator; panelist recorded a concrete example.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8"/>
              </w:rPr>
              <w:t>Composite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 w:val="0"/>
                <w:sz w:val="18"/>
              </w:rPr>
              <w:t>18/20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b w:val="0"/>
                <w:sz w:val="18"/>
              </w:rPr>
              <w:t>Advance</w:t>
            </w:r>
          </w:p>
        </w:tc>
      </w:tr>
    </w:tbl>
    <w:p/>
    <w:p>
      <w:pPr>
        <w:pStyle w:val="Heading1"/>
      </w:pPr>
      <w:r>
        <w:t>Panel note</w:t>
      </w:r>
    </w:p>
    <w:p>
      <w:r>
        <w:t>Record only job-relevant observations. Recheck score variance greater than one point before debrief. Do not use personal circumstances, pedigree, or compensation history as decision inputs.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and privacy-safe | Internal calibration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247B7B"/>
        <w:sz w:val="16"/>
      </w:rPr>
      <w:t>ORCHID PEOPLE  /  INTERVIEW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5B2C6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47B7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