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5B2C6F"/>
          <w:sz w:val="40"/>
        </w:rPr>
        <w:t>Hiring manager debrief</w:t>
      </w:r>
    </w:p>
    <w:p>
      <w:r>
        <w:rPr>
          <w:color w:val="203040"/>
          <w:sz w:val="20"/>
        </w:rPr>
        <w:t>Panel synthesis and decision controls</w:t>
      </w:r>
    </w:p>
    <w:p>
      <w:r>
        <w:rPr>
          <w:color w:val="666666"/>
          <w:sz w:val="16"/>
        </w:rPr>
        <w:t>Orchid People | Requisition Alpha | People Analytics Partner | Tokyo hybrid | 18 Aug 2026 | Approved role range JPY 7.2-8.4M</w:t>
      </w:r>
    </w:p>
    <w:p>
      <w:pPr>
        <w:pStyle w:val="Heading1"/>
      </w:pPr>
      <w:r>
        <w:t>Decision summary</w:t>
      </w:r>
    </w:p>
    <w:p>
      <w:r>
        <w:t>The panel recommends advancing A01, A02, and A03. The three recommendations meet the same rubric threshold and each has at least two independent job-relevant examples.</w:t>
      </w:r>
    </w:p>
    <w:p>
      <w:pPr>
        <w:pStyle w:val="Heading1"/>
      </w:pPr>
      <w:r>
        <w:t>Guardrails used</w:t>
      </w:r>
    </w:p>
    <w:p>
      <w:pPr>
        <w:pStyle w:val="ListBullet"/>
      </w:pPr>
      <w:r>
        <w:t>Candidate IDs only; no resumes, names, contact details, salary history, or real identifiers were reviewed.</w:t>
      </w:r>
    </w:p>
    <w:p>
      <w:pPr>
        <w:pStyle w:val="ListBullet"/>
      </w:pPr>
      <w:r>
        <w:t>All candidates received the same structured prompts, scoring anchors, and evidence threshold.</w:t>
      </w:r>
    </w:p>
    <w:p>
      <w:pPr>
        <w:pStyle w:val="ListBullet"/>
      </w:pPr>
      <w:r>
        <w:t>Accommodation and conflict-of-interest checks are completed before each panel; unsupported inferences are excluded.</w:t>
      </w:r>
    </w:p>
    <w:p>
      <w:pPr>
        <w:pStyle w:val="Heading1"/>
      </w:pPr>
      <w:r>
        <w:t>Competency rubric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6192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Observable standard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Analytical partnership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Translate workforce questions into measurable, decision-ready insight.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Stakeholder influence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Align People, Finance, and leaders with clear trade-offs.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Responsible data practice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Protect privacy and challenge biased assumptions.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Turn a scoped problem into a practical, adoption-ready plan.</w:t>
            </w:r>
          </w:p>
        </w:tc>
      </w:tr>
    </w:tbl>
    <w:p/>
    <w:p>
      <w:pPr>
        <w:pStyle w:val="Heading1"/>
      </w:pPr>
      <w:r>
        <w:t>Debrief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6624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Agreed record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Evidence review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Panel compared structured notes before discussing outcomes.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Variance check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No final score variance exceeded one point after calibration.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Fairness review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No protected-characteristic proxy, personal circumstance, or salary history entered deliberation.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Next step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Issue conditional internal approval and preserve the audit trail.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and privacy-safe | Internal calibration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47B7B"/>
        <w:sz w:val="16"/>
      </w:rPr>
      <w:t>ORCHID PEOPLE  /  INTERVIEW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5B2C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47B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