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5B2C6F"/>
          <w:sz w:val="40"/>
        </w:rPr>
        <w:t>Interviewer calibration notes</w:t>
      </w:r>
    </w:p>
    <w:p>
      <w:r>
        <w:rPr>
          <w:color w:val="203040"/>
          <w:sz w:val="20"/>
        </w:rPr>
        <w:t>Facilitator guide for consistent evidence use</w:t>
      </w:r>
    </w:p>
    <w:p>
      <w:r>
        <w:rPr>
          <w:color w:val="666666"/>
          <w:sz w:val="16"/>
        </w:rPr>
        <w:t>Orchid People | Requisition Alpha | People Analytics Partner | Tokyo hybrid | 18 Aug 2026 | Approved role range JPY 7.2-8.4M</w:t>
      </w:r>
    </w:p>
    <w:p>
      <w:pPr>
        <w:pStyle w:val="Heading1"/>
      </w:pPr>
      <w:r>
        <w:t>Decision summary</w:t>
      </w:r>
    </w:p>
    <w:p>
      <w:r>
        <w:t>Calibration closes with a shared understanding of the four competencies, a one-to-five evidence scale, and a requirement to distinguish observation from inference.</w:t>
      </w:r>
    </w:p>
    <w:p>
      <w:pPr>
        <w:pStyle w:val="Heading1"/>
      </w:pPr>
      <w:r>
        <w:t>Guardrails used</w:t>
      </w:r>
    </w:p>
    <w:p>
      <w:pPr>
        <w:pStyle w:val="ListBullet"/>
      </w:pPr>
      <w:r>
        <w:t>Candidate IDs only; no resumes, names, contact details, salary history, or real identifiers were reviewed.</w:t>
      </w:r>
    </w:p>
    <w:p>
      <w:pPr>
        <w:pStyle w:val="ListBullet"/>
      </w:pPr>
      <w:r>
        <w:t>All candidates received the same structured prompts, scoring anchors, and evidence threshold.</w:t>
      </w:r>
    </w:p>
    <w:p>
      <w:pPr>
        <w:pStyle w:val="ListBullet"/>
      </w:pPr>
      <w:r>
        <w:t>Accommodation and conflict-of-interest checks are completed before each panel; unsupported inferences are excluded.</w:t>
      </w:r>
    </w:p>
    <w:p>
      <w:pPr>
        <w:pStyle w:val="Heading1"/>
      </w:pPr>
      <w:r>
        <w:t>Competency rubric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6192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Observable standard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Analytical partnership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Translate workforce questions into measurable, decision-ready insight.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Stakeholder influence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Align People, Finance, and leaders with clear trade-offs.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Responsible data practice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Protect privacy and challenge biased assumptions.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Turn a scoped problem into a practical, adoption-ready plan.</w:t>
            </w:r>
          </w:p>
        </w:tc>
      </w:tr>
    </w:tbl>
    <w:p/>
    <w:p>
      <w:pPr>
        <w:pStyle w:val="Heading1"/>
      </w:pPr>
      <w:r>
        <w:t>Calibration prompts</w:t>
      </w:r>
    </w:p>
    <w:p>
      <w:pPr>
        <w:pStyle w:val="ListBullet"/>
      </w:pPr>
      <w:r>
        <w:t>What exact response supports the score?</w:t>
      </w:r>
    </w:p>
    <w:p>
      <w:pPr>
        <w:pStyle w:val="ListBullet"/>
      </w:pPr>
      <w:r>
        <w:t>Would the same evidence justify the score if the candidate ID were hidden?</w:t>
      </w:r>
    </w:p>
    <w:p>
      <w:pPr>
        <w:pStyle w:val="ListBullet"/>
      </w:pPr>
      <w:r>
        <w:t>Is a missing data point being treated as a negative inference?</w:t>
      </w:r>
    </w:p>
    <w:p>
      <w:pPr>
        <w:pStyle w:val="ListBullet"/>
      </w:pPr>
      <w:r>
        <w:t>Has the panel separated role-level requirements from personal preference?</w:t>
      </w:r>
    </w:p>
    <w:p>
      <w:pPr>
        <w:pStyle w:val="Heading1"/>
      </w:pPr>
      <w:r>
        <w:t>Scale anchors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152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7920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Anchor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Repeated, specific, transferable evidence; anticipates trade-offs.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Clear job-relevant example with sound judgment.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Adequate evidence; follow-up may clarify depth.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Limited or indirect evidence.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No job-relevant evidence in the response.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and privacy-safe | Internal calibration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247B7B"/>
        <w:sz w:val="16"/>
      </w:rPr>
      <w:t>ORCHID PEOPLE  /  INTERVIEW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5B2C6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47B7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