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Final-round recommendation</w:t>
      </w:r>
    </w:p>
    <w:p>
      <w:r>
        <w:rPr>
          <w:color w:val="203040"/>
          <w:sz w:val="20"/>
        </w:rPr>
        <w:t>Controlled advancement recommendation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Recommend A01, A02, and A03 for the three People Analytics Partner openings. This recommendation is comparative, evidence-based, and valid only for Requisition Alpha as of 18 Aug 2026.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Recommendation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Candidate ID</w:t>
            </w:r>
          </w:p>
        </w:tc>
        <w:tc>
          <w:tcPr>
            <w:tcW w:type="dxa" w:w="532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Strength pattern</w:t>
            </w:r>
          </w:p>
        </w:tc>
        <w:tc>
          <w:tcPr>
            <w:tcW w:type="dxa" w:w="2304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Highest composite; strong data judgment and partnership.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Strong influence and execution in structured evidence.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Consistent privacy-aware analytical judgment.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</w:tr>
    </w:tbl>
    <w:p/>
    <w:p>
      <w:pPr>
        <w:pStyle w:val="Heading1"/>
      </w:pPr>
      <w:r>
        <w:t>Safeguards before closure</w:t>
      </w:r>
    </w:p>
    <w:p>
      <w:pPr>
        <w:pStyle w:val="ListBullet"/>
      </w:pPr>
      <w:r>
        <w:t>Confirm all mandatory rubric fields are complete.</w:t>
      </w:r>
    </w:p>
    <w:p>
      <w:pPr>
        <w:pStyle w:val="ListBullet"/>
      </w:pPr>
      <w:r>
        <w:t>Ensure every candidate receives the same decision timeline and neutral communication.</w:t>
      </w:r>
    </w:p>
    <w:p>
      <w:pPr>
        <w:pStyle w:val="ListBullet"/>
      </w:pPr>
      <w:r>
        <w:t>Record only minimum necessary hiring evidence; restrict access to the panel.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