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233C"/>
          <w:sz w:val="40"/>
        </w:rPr>
        <w:t>Beta candidate comparison</w:t>
      </w:r>
    </w:p>
    <w:p>
      <w:r>
        <w:rPr>
          <w:color w:val="5B6472"/>
          <w:sz w:val="18"/>
        </w:rPr>
        <w:t>Synthetic review packet for the 2026-08-18 calibration</w:t>
      </w:r>
    </w:p>
    <w:p>
      <w:pPr>
        <w:pStyle w:val="Heading2"/>
      </w:pPr>
      <w:r>
        <w:t>At-a-glance</w:t>
      </w:r>
    </w:p>
    <w:p>
      <w:r>
        <w:t>A consistent evidence frame for the five fictional candidate IDs.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6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Evidence score</w:t>
            </w:r>
          </w:p>
        </w:tc>
        <w:tc>
          <w:tcPr>
            <w:tcW w:type="dxa" w:w="2556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2556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Targeted next step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88/100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Panel recommended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Panel conversation; confirm hybrid collaboration preference.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82/100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Screen recommended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Structured screen; probe data quality examples.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79/100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Screen recommended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Structured screen; test prioritization across openings.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66/100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Hold - evidence gap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Request a synthetic work sample before advancing.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70/100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Hold - calibration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 sourcing exercise; calibrate role fit.</w:t>
            </w:r>
          </w:p>
        </w:tc>
      </w:tr>
    </w:tbl>
    <w:p>
      <w:pPr>
        <w:pStyle w:val="Heading2"/>
      </w:pPr>
      <w:r>
        <w:t>Interpretation</w:t>
      </w:r>
    </w:p>
    <w:p>
      <w:r>
        <w:t>Scores are internal synthetic signals, not a prediction or employment decision.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5112"/>
            <w:vAlign w:val="center"/>
            <w:shd w:fill="6B3FA0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Evidence carried forward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Built a weekly recruiting operations rhythm across 14 active requisitions; standardized handoffs and reduced duplicate follow-ups in a synthetic case exercise.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Presented a synthetic funnel review that surfaced stalled stages and proposed owner-based service levels.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Mapped synthetic touchpoints from application to close and prioritized status visibility improvements.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Application packet describes calendar and onboarding coordination in fictional scenarios; metrics examples remain thin.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Application packet shows a fictional channel map and prospecting hypotheses; ATS administration depth is not yet demonstrated.</w:t>
            </w:r>
          </w:p>
        </w:tc>
      </w:tr>
    </w:tbl>
    <w:p>
      <w:pPr>
        <w:pStyle w:val="Heading2"/>
      </w:pPr>
      <w:r>
        <w:t>Calibration note</w:t>
      </w:r>
    </w:p>
    <w:p>
      <w:r>
        <w:t>Two openings require capacity-aware screening. Advance only after the same structured prompts are applied.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internal recruiting artifact - no personal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472"/>
        <w:sz w:val="16"/>
      </w:rPr>
      <w:t>ORCHID PEOPLE  |  REQUISITION BETA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 candidate comparison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