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0B2545"/>
          <w:sz w:val="18"/>
          <w:szCs w:val="18"/>
        </w:rPr>
        <w:t xml:space="preserve">ORCHID PEOPLE | REQUISITION BETA</w:t>
      </w:r>
    </w:p>
    <w:p>
      <w:pPr>
        <w:spacing w:after="80"/>
      </w:pPr>
      <w:r>
        <w:rPr>
          <w:b/>
          <w:bCs/>
          <w:color w:val="0B2545"/>
          <w:sz w:val="32"/>
          <w:szCs w:val="32"/>
        </w:rPr>
        <w:t xml:space="preserve">Interview summary | 2026-08-18</w:t>
      </w:r>
    </w:p>
    <w:p>
      <w:pPr>
        <w:spacing w:after="220"/>
      </w:pPr>
      <w:r>
        <w:rPr>
          <w:i/>
          <w:iCs/>
          <w:color w:val="555555"/>
          <w:sz w:val="20"/>
          <w:szCs w:val="20"/>
        </w:rPr>
        <w:t xml:space="preserve">Talent Operations Specialist • Tokyo hybrid • 2 openings • JPY 5.8-6.8M</w:t>
      </w:r>
    </w:p>
    <w:p>
      <w:pPr>
        <w:pStyle w:val="Heading1"/>
        <w:spacing w:after="100" w:before="0"/>
      </w:pPr>
      <w:r>
        <w:rPr>
          <w:b w:val="false"/>
          <w:bCs w:val="false"/>
        </w:rPr>
        <w:t xml:space="preserve">Decision snapshot</w:t>
      </w:r>
    </w:p>
    <w:p>
      <w:pPr>
        <w:spacing w:after="100" w:before="0"/>
      </w:pPr>
      <w:r>
        <w:rPr>
          <w:b w:val="false"/>
          <w:bCs w:val="false"/>
        </w:rPr>
        <w:t xml:space="preserve">Recommend B01 and B02 for the two openings, subject to standard reference and fairness checks. B03 remains a calibrated alternate; B04 and B05 do not meet the evidence threshold for this requisition.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  <w:shd w:fill="E8EEF5" w:val="clear"/>
          </w:tcPr>
          <w:p>
            <w:r>
              <w:rPr>
                <w:b/>
                <w:bCs/>
              </w:rPr>
              <w:t xml:space="preserve">Candidate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  <w:shd w:fill="E8EEF5" w:val="clear"/>
          </w:tcPr>
          <w:p>
            <w:r>
              <w:rPr>
                <w:b/>
                <w:bCs/>
              </w:rPr>
              <w:t xml:space="preserve">Structured evidence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  <w:shd w:fill="E8EEF5" w:val="clear"/>
          </w:tcPr>
          <w:p>
            <w:r>
              <w:rPr>
                <w:b/>
                <w:bCs/>
              </w:rPr>
              <w:t xml:space="preserve">Recommendation</w:t>
            </w:r>
          </w:p>
        </w:tc>
      </w:tr>
      <w:tr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B01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Clear intake triage, stakeholder reset, and measurable handoff plan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Advance / offer path</w:t>
            </w:r>
          </w:p>
        </w:tc>
      </w:tr>
      <w:tr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B02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Strong operating cadence and practical candidate-experience controls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Advance / offer path</w:t>
            </w:r>
          </w:p>
        </w:tc>
      </w:tr>
      <w:tr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B03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Sound planning; weaker escalation ownership example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Alternate</w:t>
            </w:r>
          </w:p>
        </w:tc>
      </w:tr>
      <w:tr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B04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Partial evidence across core competencies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Do not advance</w:t>
            </w:r>
          </w:p>
        </w:tc>
      </w:tr>
      <w:tr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B05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Limited evidence for workflow design</w:t>
            </w:r>
          </w:p>
        </w:tc>
        <w:tc>
          <w:tcPr>
            <w:tcBorders>
              <w:top w:val="single" w:color="D9D9D9"/>
              <w:left w:val="single" w:color="D9D9D9"/>
              <w:bottom w:val="single" w:color="D9D9D9"/>
              <w:right w:val="single" w:color="D9D9D9"/>
            </w:tcBorders>
          </w:tcPr>
          <w:p>
            <w:r>
              <w:rPr>
                <w:b w:val="false"/>
                <w:bCs w:val="false"/>
              </w:rPr>
              <w:t xml:space="preserve">Do not advance</w:t>
            </w:r>
          </w:p>
        </w:tc>
      </w:tr>
    </w:tbl>
    <w:p>
      <w:pPr>
        <w:pStyle w:val="Heading1"/>
        <w:spacing w:after="100" w:before="0"/>
      </w:pPr>
      <w:r>
        <w:rPr>
          <w:b w:val="false"/>
          <w:bCs w:val="false"/>
        </w:rPr>
        <w:t xml:space="preserve">Panel consistency checks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five candidates received the same competency prompts and timebox.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Scores were recorded before the hiring-manager debrief.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protected-characteristic, prior-employer, family, health, or salary-history information was discussed.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Decision rationale is linked to 07-beta-decision-rationale.pdf and the formula-driven matrix in 13-beta-evaluation-matrix.xlsx.</w:t>
      </w:r>
    </w:p>
    <w:p>
      <w:pPr>
        <w:pStyle w:val="Heading1"/>
        <w:spacing w:after="100" w:before="0"/>
      </w:pPr>
      <w:r>
        <w:rPr>
          <w:b w:val="false"/>
          <w:bCs w:val="false"/>
        </w:rPr>
        <w:t xml:space="preserve">Next actions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People Ops: complete documented fairness review by 2026-08-19.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Hiring manager: confirm role priorities and conditional offer language for B01 and B02.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Recruiting: retain standardized notes and notify candidates using approved templates.</w:t>
      </w:r>
    </w:p>
    <w:p>
      <w:pPr>
        <w:spacing w:before="200"/>
      </w:pPr>
      <w:r>
        <w:rPr>
          <w:color w:val="666666"/>
          <w:sz w:val="16"/>
          <w:szCs w:val="16"/>
        </w:rPr>
        <w:t xml:space="preserve">Synthetic recruiting record • Fairness review required • Internal use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6"/>
        <w:szCs w:val="16"/>
      </w:rPr>
      <w:t xml:space="preserve">Orchid People | Talent Operations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2026-08-23T18:52:42.429Z</dcterms:created>
  <dcterms:modified xsi:type="dcterms:W3CDTF">2026-08-23T18:52:42.429Z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