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color w:val="0B2545"/>
          <w:sz w:val="46"/>
        </w:rPr>
        <w:t>Story Alpha: Project Lantern</w:t>
      </w:r>
    </w:p>
    <w:p>
      <w:pPr>
        <w:spacing w:after="120" w:line="264" w:lineRule="auto"/>
      </w:pPr>
      <w:r>
        <w:rPr>
          <w:rFonts w:ascii="Calibri" w:hAnsi="Calibri"/>
          <w:b w:val="0"/>
          <w:color w:val="555555"/>
          <w:sz w:val="22"/>
        </w:rPr>
        <w:t>Document chronology | FOIA batch 17 | Verification cutoff 2026-08-19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Agency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Agency Alpha-17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CL-A17-2026-04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FOIA request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CL-SA26-FOIA-17</w:t>
            </w:r>
          </w:p>
        </w:tc>
      </w:tr>
      <w:tr>
        <w:tc>
          <w:tcPr>
            <w:tcW w:type="dxa" w:w="4680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Publication target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2026-08-22</w:t>
            </w:r>
          </w:p>
        </w:tc>
      </w:tr>
    </w:tbl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What the records establish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This revision tests sequence before narrative. The approval entry is dated 2026-06-03; the requested file set was received on 2026-08-14 and verified on 2026-08-19.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batch identifies Project Lantern and a procurement record dated 2026-06-03. The reviewed entry lists 240 sensor kits and 1,248,000 fictional Civic Credits. The FOIA request was received on 2026-08-14 and contains 48 synthetic pages.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Reporting notes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Lead with the chronological record.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Describe Project Lantern as the subject of the files.</w:t>
      </w:r>
    </w:p>
    <w:p>
      <w:pPr>
        <w:pStyle w:val="ListBullet"/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Flag the two May metadata dates as a discrepancy requiring documentation.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Documentation gaps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The record set does not contain the third requested quote. Its absence is a documentation gap, not proof of wrongdoing. Metadata is recorded as 2026-05-28 in one item and 2026-05-30 in another; that discrepancy requires clarification and is not evidence of wrongdoing.</w:t>
      </w:r>
    </w:p>
    <w:p>
      <w:pPr>
        <w:pStyle w:val="Heading1"/>
        <w:spacing w:after="120" w:line="264" w:lineRule="auto"/>
      </w:pPr>
      <w:r>
        <w:rPr>
          <w:rFonts w:ascii="Calibri" w:hAnsi="Calibri"/>
          <w:b/>
          <w:color w:val="2E74B5"/>
          <w:sz w:val="32"/>
        </w:rPr>
        <w:t>Source handling</w:t>
      </w:r>
    </w:p>
    <w:p>
      <w:pPr>
        <w:spacing w:after="120" w:line="264" w:lineRule="auto"/>
      </w:pPr>
      <w:r>
        <w:rPr>
          <w:rFonts w:ascii="Calibri" w:hAnsi="Calibri"/>
          <w:b w:val="0"/>
          <w:color w:val="000000"/>
          <w:sz w:val="22"/>
        </w:rPr>
        <w:t>Internal source references use Source Alpha role IDs only. This draft contains no personal names, contacts, locations, or external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Civic Ledger | Synthetic newsroom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6"/>
      </w:rPr>
      <w:t>CIVIC LEDGER | STORY ALPHA 2026 |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