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color w:val="0B2545"/>
          <w:sz w:val="46"/>
        </w:rPr>
        <w:t>Story Alpha: Project Lantern</w:t>
      </w:r>
    </w:p>
    <w:p>
      <w:pPr>
        <w:spacing w:after="120" w:line="264" w:lineRule="auto"/>
      </w:pPr>
      <w:r>
        <w:rPr>
          <w:rFonts w:ascii="Calibri" w:hAnsi="Calibri"/>
          <w:b w:val="0"/>
          <w:color w:val="555555"/>
          <w:sz w:val="22"/>
        </w:rPr>
        <w:t>Standards revision | FOIA batch 17 | Verification cutoff 2026-08-19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Agency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Agency Alpha-17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Record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CL-A17-2026-04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FOIA request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CL-SA26-FOIA-17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Publication target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2026-08-22</w:t>
            </w:r>
          </w:p>
        </w:tc>
      </w:tr>
    </w:tbl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What the records establish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This pass tightens attribution and removes implication. The missing quote and the metadata discrepancy are described as gaps in the record, not evidence of misconduct.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batch identifies Project Lantern and a procurement record dated 2026-06-03. The reviewed entry lists 240 sensor kits and 1,248,000 fictional Civic Credits. The FOIA request was received on 2026-08-14 and contains 48 synthetic pages.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Reporting notes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Name evidence status in every section.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Avoid motive language.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Use Source Alpha role IDs only in internal notes.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Documentation gaps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record set does not contain the third requested quote. Its absence is a documentation gap, not proof of wrongdoing. Metadata is recorded as 2026-05-28 in one item and 2026-05-30 in another; that discrepancy requires clarification and is not evidence of wrongdoing.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Source handling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Internal source references use Source Alpha role IDs only. This draft contains no personal names, contacts, locations, or external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Civic Ledger | Synthetic newsroom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6"/>
      </w:rPr>
      <w:t>CIVIC LEDGER | STORY ALPHA 2026 |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