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color w:val="0B2545"/>
          <w:sz w:val="46"/>
        </w:rPr>
        <w:t>Story Alpha: Project Lantern</w:t>
      </w:r>
    </w:p>
    <w:p>
      <w:pPr>
        <w:spacing w:after="120" w:line="264" w:lineRule="auto"/>
      </w:pPr>
      <w:r>
        <w:rPr>
          <w:rFonts w:ascii="Calibri" w:hAnsi="Calibri"/>
          <w:b w:val="0"/>
          <w:color w:val="555555"/>
          <w:sz w:val="22"/>
        </w:rPr>
        <w:t>Publication-ready draft | FOIA batch 17 | Verification cutoff 2026-08-19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Agency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Agency Alpha-17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Record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CL-A17-2026-04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FOIA request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CL-SA26-FOIA-17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Publication target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2026-08-22</w:t>
            </w:r>
          </w:p>
        </w:tc>
      </w:tr>
    </w:tbl>
    <w:p>
      <w:pPr>
        <w:pStyle w:val="Heading1"/>
        <w:spacing w:after="120" w:line="264" w:lineRule="auto"/>
      </w:pPr>
      <w:r>
        <w:rPr>
          <w:rFonts w:ascii="Calibri" w:hAnsi="Calibri"/>
          <w:b/>
          <w:color w:val="2E74B5"/>
          <w:sz w:val="32"/>
        </w:rPr>
        <w:t>What the records establish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This draft presents a careful, usable account of a fictional records review. It distinguishes verified procurement facts from open documentation questions and sets a transparent next-reporting path.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batch identifies Project Lantern and a procurement record dated 2026-06-03. The reviewed entry lists 240 sensor kits and 1,248,000 fictional Civic Credits. The FOIA request was received on 2026-08-14 and contains 48 synthetic pages.</w:t>
      </w:r>
    </w:p>
    <w:p>
      <w:pPr>
        <w:pStyle w:val="Heading1"/>
        <w:spacing w:after="120" w:line="264" w:lineRule="auto"/>
      </w:pPr>
      <w:r>
        <w:rPr>
          <w:rFonts w:ascii="Calibri" w:hAnsi="Calibri"/>
          <w:b/>
          <w:color w:val="2E74B5"/>
          <w:sz w:val="32"/>
        </w:rPr>
        <w:t>Reporting notes</w:t>
      </w:r>
    </w:p>
    <w:p>
      <w:pPr>
        <w:pStyle w:val="ListBullet"/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Publish date target: 2026-08-22.</w:t>
      </w:r>
    </w:p>
    <w:p>
      <w:pPr>
        <w:pStyle w:val="ListBullet"/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Verification cutoff: 2026-08-19.</w:t>
      </w:r>
    </w:p>
    <w:p>
      <w:pPr>
        <w:pStyle w:val="ListBullet"/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Retain an explicit no-finding statement.</w:t>
      </w:r>
    </w:p>
    <w:p>
      <w:pPr>
        <w:pStyle w:val="Heading1"/>
        <w:spacing w:after="120" w:line="264" w:lineRule="auto"/>
      </w:pPr>
      <w:r>
        <w:rPr>
          <w:rFonts w:ascii="Calibri" w:hAnsi="Calibri"/>
          <w:b/>
          <w:color w:val="2E74B5"/>
          <w:sz w:val="32"/>
        </w:rPr>
        <w:t>Documentation gaps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record set does not contain the third requested quote. Its absence is a documentation gap, not proof of wrongdoing. Metadata is recorded as 2026-05-28 in one item and 2026-05-30 in another; that discrepancy requires clarification and is not evidence of wrongdoing.</w:t>
      </w:r>
    </w:p>
    <w:p>
      <w:pPr>
        <w:pStyle w:val="Heading1"/>
        <w:spacing w:after="120" w:line="264" w:lineRule="auto"/>
      </w:pPr>
      <w:r>
        <w:rPr>
          <w:rFonts w:ascii="Calibri" w:hAnsi="Calibri"/>
          <w:b/>
          <w:color w:val="2E74B5"/>
          <w:sz w:val="32"/>
        </w:rPr>
        <w:t>Source handling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Internal source references use Source Alpha role IDs only. This draft contains no personal names, contacts, locations, or external records.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66666"/>
        <w:sz w:val="16"/>
      </w:rPr>
      <w:t>Civic Ledger | Synthetic newsroom 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666666"/>
        <w:sz w:val="16"/>
      </w:rPr>
      <w:t>CIVIC LEDGER | STORY ALPHA 2026 | INTERNAL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