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Corrections and documentation memo</w:t>
      </w:r>
    </w:p>
    <w:p>
      <w:r>
        <w:rPr>
          <w:b/>
        </w:rPr>
        <w:t>Civic Ledger / Story Alpha 2026 / desk 2026-08-22 / FOIA batch 17</w:t>
      </w:r>
    </w:p>
    <w:p>
      <w:r>
        <w:t>Purpose: preserve a publication-safe record of supported claims and open documentation gaps for Agency Alpha-17 Project Lantern (CL-A17-2026-04). Verification date: 2026-08-19.</w:t>
      </w:r>
    </w:p>
    <w:p>
      <w:pPr>
        <w:pStyle w:val="Heading2"/>
      </w:pPr>
      <w:r>
        <w:t>Editorial finding</w:t>
      </w:r>
    </w:p>
    <w:p>
      <w:r>
        <w:t>Four claims are corroborated. Two items remain open: the absent third comparison quote and the 2026-05-28 versus 2026-05-30 metadata mismatch. Neither open item is proof of wrongdoing.</w:t>
      </w:r>
    </w:p>
    <w:p>
      <w:pPr>
        <w:pStyle w:val="Heading2"/>
      </w:pPr>
      <w:r>
        <w:t>Corrections posture</w:t>
      </w:r>
    </w:p>
    <w:p>
      <w:pPr>
        <w:pStyle w:val="ListBullet"/>
      </w:pPr>
      <w:r>
        <w:t>Use 240 sensors, 1,248,000 fictional Civic Credits, and approval date 2026-06-03 only with their recorded evidence IDs.</w:t>
      </w:r>
    </w:p>
    <w:p>
      <w:pPr>
        <w:pStyle w:val="ListBullet"/>
      </w:pPr>
      <w:r>
        <w:t>Describe CL-SA26-FOIA-17 as received 2026-08-14 with 48 synthetic pages.</w:t>
      </w:r>
    </w:p>
    <w:p>
      <w:pPr>
        <w:pStyle w:val="ListBullet"/>
      </w:pPr>
      <w:r>
        <w:t>Label both unresolved matters as documentation gaps and retain the stated next actions.</w:t>
      </w:r>
    </w:p>
    <w:p>
      <w:pPr>
        <w:pStyle w:val="Heading2"/>
      </w:pPr>
      <w:r>
        <w:t>Claim register summary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00"/>
            <w:shd w:fill="D9E8F2"/>
          </w:tcPr>
          <w:p>
            <w:r>
              <w:rPr>
                <w:b/>
              </w:rPr>
              <w:t>Claim</w:t>
            </w:r>
          </w:p>
        </w:tc>
        <w:tc>
          <w:tcPr>
            <w:tcW w:type="dxa" w:w="1200"/>
            <w:shd w:fill="D9E8F2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060"/>
            <w:shd w:fill="D9E8F2"/>
          </w:tcPr>
          <w:p>
            <w:r>
              <w:rPr>
                <w:b/>
              </w:rPr>
              <w:t>Editorial action</w:t>
            </w:r>
          </w:p>
        </w:tc>
      </w:tr>
      <w:tr>
        <w:tc>
          <w:tcPr>
            <w:tcW w:type="dxa" w:w="2100"/>
            <w:vAlign w:val="top"/>
          </w:tcPr>
          <w:p>
            <w:r>
              <w:t>CLM-01</w:t>
            </w:r>
          </w:p>
        </w:tc>
        <w:tc>
          <w:tcPr>
            <w:tcW w:type="dxa" w:w="1200"/>
            <w:vAlign w:val="top"/>
          </w:tcPr>
          <w:p>
            <w:r>
              <w:t>CORROBORATED</w:t>
            </w:r>
          </w:p>
        </w:tc>
        <w:tc>
          <w:tcPr>
            <w:tcW w:type="dxa" w:w="6060"/>
            <w:vAlign w:val="top"/>
          </w:tcPr>
          <w:p>
            <w:r>
              <w:t>Compare the final deployment inventory when released.</w:t>
            </w:r>
          </w:p>
        </w:tc>
      </w:tr>
      <w:tr>
        <w:tc>
          <w:tcPr>
            <w:tcW w:type="dxa" w:w="2100"/>
            <w:vAlign w:val="top"/>
          </w:tcPr>
          <w:p>
            <w:r>
              <w:t>CLM-02</w:t>
            </w:r>
          </w:p>
        </w:tc>
        <w:tc>
          <w:tcPr>
            <w:tcW w:type="dxa" w:w="1200"/>
            <w:vAlign w:val="top"/>
          </w:tcPr>
          <w:p>
            <w:r>
              <w:t>CORROBORATED</w:t>
            </w:r>
          </w:p>
        </w:tc>
        <w:tc>
          <w:tcPr>
            <w:tcW w:type="dxa" w:w="6060"/>
            <w:vAlign w:val="top"/>
          </w:tcPr>
          <w:p>
            <w:r>
              <w:t>Request the final accounting reconciliation.</w:t>
            </w:r>
          </w:p>
        </w:tc>
      </w:tr>
      <w:tr>
        <w:tc>
          <w:tcPr>
            <w:tcW w:type="dxa" w:w="2100"/>
            <w:vAlign w:val="top"/>
          </w:tcPr>
          <w:p>
            <w:r>
              <w:t>CLM-03</w:t>
            </w:r>
          </w:p>
        </w:tc>
        <w:tc>
          <w:tcPr>
            <w:tcW w:type="dxa" w:w="1200"/>
            <w:vAlign w:val="top"/>
          </w:tcPr>
          <w:p>
            <w:r>
              <w:t>CORROBORATED</w:t>
            </w:r>
          </w:p>
        </w:tc>
        <w:tc>
          <w:tcPr>
            <w:tcW w:type="dxa" w:w="6060"/>
            <w:vAlign w:val="top"/>
          </w:tcPr>
          <w:p>
            <w:r>
              <w:t>Check the next release for any amended approval.</w:t>
            </w:r>
          </w:p>
        </w:tc>
      </w:tr>
      <w:tr>
        <w:tc>
          <w:tcPr>
            <w:tcW w:type="dxa" w:w="2100"/>
            <w:vAlign w:val="top"/>
          </w:tcPr>
          <w:p>
            <w:r>
              <w:t>CLM-04</w:t>
            </w:r>
          </w:p>
        </w:tc>
        <w:tc>
          <w:tcPr>
            <w:tcW w:type="dxa" w:w="1200"/>
            <w:vAlign w:val="top"/>
          </w:tcPr>
          <w:p>
            <w:r>
              <w:t>CORROBORATED</w:t>
            </w:r>
          </w:p>
        </w:tc>
        <w:tc>
          <w:tcPr>
            <w:tcW w:type="dxa" w:w="6060"/>
            <w:vAlign w:val="top"/>
          </w:tcPr>
          <w:p>
            <w:r>
              <w:t>Retain the intake record with the packet index.</w:t>
            </w:r>
          </w:p>
        </w:tc>
      </w:tr>
      <w:tr>
        <w:tc>
          <w:tcPr>
            <w:tcW w:type="dxa" w:w="2100"/>
            <w:vAlign w:val="top"/>
          </w:tcPr>
          <w:p>
            <w:r>
              <w:t>CLM-05</w:t>
            </w:r>
          </w:p>
        </w:tc>
        <w:tc>
          <w:tcPr>
            <w:tcW w:type="dxa" w:w="1200"/>
            <w:vAlign w:val="top"/>
          </w:tcPr>
          <w:p>
            <w:r>
              <w:t>OPEN</w:t>
            </w:r>
          </w:p>
        </w:tc>
        <w:tc>
          <w:tcPr>
            <w:tcW w:type="dxa" w:w="6060"/>
            <w:vAlign w:val="top"/>
          </w:tcPr>
          <w:p>
            <w:r>
              <w:t>Request a version-history explanation and preserve both extracts.</w:t>
            </w:r>
          </w:p>
        </w:tc>
      </w:tr>
      <w:tr>
        <w:tc>
          <w:tcPr>
            <w:tcW w:type="dxa" w:w="2100"/>
            <w:vAlign w:val="top"/>
          </w:tcPr>
          <w:p>
            <w:r>
              <w:t>CLM-06</w:t>
            </w:r>
          </w:p>
        </w:tc>
        <w:tc>
          <w:tcPr>
            <w:tcW w:type="dxa" w:w="1200"/>
            <w:vAlign w:val="top"/>
          </w:tcPr>
          <w:p>
            <w:r>
              <w:t>OPEN</w:t>
            </w:r>
          </w:p>
        </w:tc>
        <w:tc>
          <w:tcPr>
            <w:tcW w:type="dxa" w:w="6060"/>
            <w:vAlign w:val="top"/>
          </w:tcPr>
          <w:p>
            <w:r>
              <w:t>Seek the absent comparison record or record its unavailability.</w:t>
            </w:r>
          </w:p>
        </w:tc>
      </w:tr>
    </w:tbl>
    <w:p>
      <w:pPr/>
      <w:r>
        <w:t>Source-role convention: only Source Alpha role IDs are used. No identities, contacts, locations, or external source materials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Internal fact-check memo | 2026-08-22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95959"/>
        <w:sz w:val="18"/>
      </w:rPr>
      <w:t>Civic Ledger | Story Alpha 2026 | Fact-check desk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Story Alpha corrections and documentation memo</dc:title>
  <dc:subject>Synthetic fact-checking record</dc:subject>
  <dc:creator>Civic Ledger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