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04C"/>
          <w:sz w:val="44"/>
        </w:rPr>
        <w:t>Story Beta Draft v02</w:t>
      </w:r>
    </w:p>
    <w:p>
      <w:pPr>
        <w:pStyle w:val="Subtitle"/>
      </w:pPr>
      <w:r>
        <w:t>Reporting frame for an editorial review</w:t>
      </w:r>
    </w:p>
    <w:p>
      <w:r>
        <w:rPr>
          <w:i/>
        </w:rPr>
        <w:t>Civic Ledger | Story Beta 2026 | FOIA batch 17 | verified 2026-08-19</w:t>
      </w:r>
    </w:p>
    <w:p>
      <w:pPr>
        <w:pStyle w:val="Heading1"/>
      </w:pPr>
      <w:r>
        <w:t>Working lede</w:t>
      </w:r>
    </w:p>
    <w:p>
      <w:r>
        <w:t>A renewal record for Agency Beta-09 shows a Route Prism agreement approved for 96 service units and 684,000 fictional Civic Credits. The available record set is synthetic and limited to the batch described below.</w:t>
      </w:r>
    </w:p>
    <w:p>
      <w:pPr>
        <w:pStyle w:val="Heading1"/>
      </w:pPr>
      <w:r>
        <w:t>Verified record frame</w:t>
      </w:r>
    </w:p>
    <w:p>
      <w:pPr>
        <w:pStyle w:val="ListBullet"/>
      </w:pPr>
      <w:r>
        <w:t>Agency Beta-09 Route Prism renewal</w:t>
      </w:r>
    </w:p>
    <w:p>
      <w:pPr>
        <w:pStyle w:val="ListBullet"/>
      </w:pPr>
      <w:r>
        <w:t>Contract CL-B09-2026-11</w:t>
      </w:r>
    </w:p>
    <w:p>
      <w:pPr>
        <w:pStyle w:val="ListBullet"/>
      </w:pPr>
      <w:r>
        <w:t>96 service units</w:t>
      </w:r>
    </w:p>
    <w:p>
      <w:pPr>
        <w:pStyle w:val="ListBullet"/>
      </w:pPr>
      <w:r>
        <w:t>684,000 fictional Civic Credits</w:t>
      </w:r>
    </w:p>
    <w:p>
      <w:pPr>
        <w:pStyle w:val="ListBullet"/>
      </w:pPr>
      <w:r>
        <w:t>Approval recorded 2026-06-18</w:t>
      </w:r>
    </w:p>
    <w:p>
      <w:pPr>
        <w:pStyle w:val="ListBullet"/>
      </w:pPr>
      <w:r>
        <w:t>FOIA request CL-SB26-FOIA-17 received 2026-08-15; 31 synthetic pages</w:t>
      </w:r>
    </w:p>
    <w:p>
      <w:pPr>
        <w:pStyle w:val="Heading1"/>
      </w:pPr>
      <w:r>
        <w:t>What the record does not resolve</w:t>
      </w:r>
    </w:p>
    <w:p>
      <w:r>
        <w:t>The amendment is dated 2026-07-02 while the approval log is dated 2026-07-05. This is an unresolved process gap, not proof of wrongdoing.</w:t>
      </w:r>
    </w:p>
    <w:p>
      <w:pPr>
        <w:pStyle w:val="Heading1"/>
      </w:pPr>
      <w:r>
        <w:t>Source handling</w:t>
      </w:r>
    </w:p>
    <w:p>
      <w:r>
        <w:t>This draft attributes context only to Source Beta-01 and Source Beta-02 role IDs. It does not identify a person, a location, or a contact channel.</w:t>
      </w:r>
    </w:p>
    <w:p>
      <w:pPr>
        <w:pStyle w:val="Heading1"/>
      </w:pPr>
      <w:r>
        <w:t>Editorial next pass</w:t>
      </w:r>
    </w:p>
    <w:p>
      <w:r>
        <w:t>Confirm how the dated amendment was entered into the approval sequence, then ask whether the date difference reflects routing, logging, or a later correction. Preserve the distinction between a question and a conclusion.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Civic Ledger - Story Beta working draft - synthetic newsroom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