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Story Beta Quote Selection Sheet</w:t>
      </w:r>
    </w:p>
    <w:p>
      <w:pPr>
        <w:pStyle w:val="BodyText"/>
        <w:bidi w:val="0"/>
        <w:jc w:val="start"/>
        <w:rPr/>
      </w:pPr>
      <w:r>
        <w:rPr/>
        <w:t>Civic Ledger | Story Beta 2026 | 2026-08-22 | verified 2026-08-19</w:t>
      </w:r>
    </w:p>
    <w:p>
      <w:pPr>
        <w:pStyle w:val="BodyText"/>
        <w:bidi w:val="0"/>
        <w:jc w:val="start"/>
        <w:rPr/>
      </w:pPr>
      <w:r>
        <w:rPr>
          <w:rStyle w:val="Strong"/>
        </w:rPr>
        <w:t>Reporting boundary:</w:t>
      </w:r>
      <w:r>
        <w:rPr/>
        <w:t xml:space="preserve"> The amendment dated 2026-07-02 and approval log dated 2026-07-05 indicate a process gap, not proof of wrongdoing.</w:t>
      </w:r>
    </w:p>
    <w:p>
      <w:pPr>
        <w:pStyle w:val="Heading2"/>
        <w:bidi w:val="0"/>
        <w:jc w:val="start"/>
        <w:rPr/>
      </w:pPr>
      <w:r>
        <w:rPr/>
        <w:t>Anchor record</w:t>
      </w:r>
    </w:p>
    <w:p>
      <w:pPr>
        <w:pStyle w:val="BodyText"/>
        <w:bidi w:val="0"/>
        <w:jc w:val="start"/>
        <w:rPr/>
      </w:pPr>
      <w:r>
        <w:rPr/>
        <w:t>Agency Beta-09's fictional Route Prism renewal, contract CL-B09-2026-11, covers 96 service units and 684,000 fictional Civic Credits. Approval is dated 2026-06-18. FOIA batch CL-SB26-FOIA-17 was received 2026-08-15 and lists 31 synthetic pages.</w:t>
      </w:r>
    </w:p>
    <w:p>
      <w:pPr>
        <w:pStyle w:val="Heading2"/>
        <w:bidi w:val="0"/>
        <w:jc w:val="start"/>
        <w:rPr/>
      </w:pPr>
      <w:r>
        <w:rPr/>
        <w:t>Selected attributable statements</w:t>
      </w:r>
    </w:p>
    <w:p>
      <w:pPr>
        <w:pStyle w:val="Heading3"/>
        <w:bidi w:val="0"/>
        <w:jc w:val="start"/>
        <w:rPr/>
      </w:pPr>
      <w:r>
        <w:rPr/>
        <w:t>Source Beta-01</w:t>
      </w:r>
    </w:p>
    <w:p>
      <w:pPr>
        <w:pStyle w:val="BodyText"/>
        <w:bidi w:val="0"/>
        <w:jc w:val="start"/>
        <w:rPr/>
      </w:pPr>
      <w:r>
        <w:rPr/>
        <w:t>The dated sequence requires explanation and does not establish a finding beyond the records reviewed.</w:t>
      </w:r>
    </w:p>
    <w:p>
      <w:pPr>
        <w:pStyle w:val="BodyText"/>
        <w:bidi w:val="0"/>
        <w:jc w:val="start"/>
        <w:rPr/>
      </w:pPr>
      <w:r>
        <w:rPr/>
        <w:t>Use: process framing.</w:t>
      </w:r>
    </w:p>
    <w:p>
      <w:pPr>
        <w:pStyle w:val="Heading3"/>
        <w:bidi w:val="0"/>
        <w:jc w:val="start"/>
        <w:rPr/>
      </w:pPr>
      <w:r>
        <w:rPr/>
        <w:t>Source Beta-02</w:t>
      </w:r>
    </w:p>
    <w:p>
      <w:pPr>
        <w:pStyle w:val="BodyText"/>
        <w:bidi w:val="0"/>
        <w:jc w:val="start"/>
        <w:rPr/>
      </w:pPr>
      <w:r>
        <w:rPr/>
        <w:t>The comparison identifies a process gap; it does not prove wrongdoing, intent, or a financial result.</w:t>
      </w:r>
    </w:p>
    <w:p>
      <w:pPr>
        <w:pStyle w:val="BodyText"/>
        <w:bidi w:val="0"/>
        <w:jc w:val="start"/>
        <w:rPr/>
      </w:pPr>
      <w:r>
        <w:rPr/>
        <w:t>Use: conclusion boundary.</w:t>
      </w:r>
    </w:p>
    <w:p>
      <w:pPr>
        <w:pStyle w:val="Heading3"/>
        <w:bidi w:val="0"/>
        <w:jc w:val="start"/>
        <w:rPr/>
      </w:pPr>
      <w:r>
        <w:rPr/>
        <w:t>Source Beta-03</w:t>
      </w:r>
    </w:p>
    <w:p>
      <w:pPr>
        <w:pStyle w:val="BodyText"/>
        <w:bidi w:val="0"/>
        <w:jc w:val="start"/>
        <w:rPr/>
      </w:pPr>
      <w:r>
        <w:rPr/>
        <w:t>Readers should not treat a dated mismatch as proof of wrongdoing.</w:t>
      </w:r>
    </w:p>
    <w:p>
      <w:pPr>
        <w:pStyle w:val="BodyText"/>
        <w:bidi w:val="0"/>
        <w:jc w:val="start"/>
        <w:rPr/>
      </w:pPr>
      <w:r>
        <w:rPr/>
        <w:t>Use: reader guidance.</w:t>
      </w:r>
    </w:p>
    <w:p>
      <w:pPr>
        <w:pStyle w:val="Heading3"/>
        <w:bidi w:val="0"/>
        <w:jc w:val="start"/>
        <w:rPr/>
      </w:pPr>
      <w:r>
        <w:rPr/>
        <w:t>Source Beta-04</w:t>
      </w:r>
    </w:p>
    <w:p>
      <w:pPr>
        <w:pStyle w:val="BodyText"/>
        <w:bidi w:val="0"/>
        <w:jc w:val="start"/>
        <w:rPr/>
      </w:pPr>
      <w:r>
        <w:rPr/>
        <w:t>The review uses the approval, amendment, log, receipt, verification, and story dates as separate record points.</w:t>
      </w:r>
    </w:p>
    <w:p>
      <w:pPr>
        <w:pStyle w:val="BodyText"/>
        <w:bidi w:val="0"/>
        <w:jc w:val="start"/>
        <w:rPr/>
      </w:pPr>
      <w:r>
        <w:rPr/>
        <w:t>Use: timeline framing.</w:t>
      </w:r>
    </w:p>
    <w:p>
      <w:pPr>
        <w:pStyle w:val="Heading3"/>
        <w:bidi w:val="0"/>
        <w:jc w:val="start"/>
        <w:rPr/>
      </w:pPr>
      <w:r>
        <w:rPr/>
        <w:t>Source Beta-05</w:t>
      </w:r>
    </w:p>
    <w:p>
      <w:pPr>
        <w:pStyle w:val="BodyText"/>
        <w:bidi w:val="0"/>
        <w:jc w:val="start"/>
        <w:rPr/>
      </w:pPr>
      <w:r>
        <w:rPr/>
        <w:t>The FOIA packet supports documentation of a process question only.</w:t>
      </w:r>
    </w:p>
    <w:p>
      <w:pPr>
        <w:pStyle w:val="BodyText"/>
        <w:bidi w:val="0"/>
        <w:jc w:val="start"/>
        <w:rPr/>
      </w:pPr>
      <w:r>
        <w:rPr/>
        <w:t>Use: FOIA framing.</w:t>
      </w:r>
    </w:p>
    <w:p>
      <w:pPr>
        <w:pStyle w:val="Heading3"/>
        <w:bidi w:val="0"/>
        <w:jc w:val="start"/>
        <w:rPr/>
      </w:pPr>
      <w:r>
        <w:rPr/>
        <w:t>Source Beta-06</w:t>
      </w:r>
    </w:p>
    <w:p>
      <w:pPr>
        <w:pStyle w:val="BodyText"/>
        <w:bidi w:val="0"/>
        <w:jc w:val="start"/>
        <w:rPr/>
      </w:pPr>
      <w:r>
        <w:rPr/>
        <w:t>State the process question clearly and avoid treating the mismatch as proof.</w:t>
      </w:r>
    </w:p>
    <w:p>
      <w:pPr>
        <w:pStyle w:val="BodyText"/>
        <w:bidi w:val="0"/>
        <w:jc w:val="start"/>
        <w:rPr/>
      </w:pPr>
      <w:r>
        <w:rPr/>
        <w:t>Use: editing guardrail.</w:t>
      </w:r>
    </w:p>
    <w:p>
      <w:pPr>
        <w:pStyle w:val="Heading3"/>
        <w:bidi w:val="0"/>
        <w:jc w:val="start"/>
        <w:rPr/>
      </w:pPr>
      <w:r>
        <w:rPr/>
        <w:t>Source Beta-07</w:t>
      </w:r>
    </w:p>
    <w:p>
      <w:pPr>
        <w:pStyle w:val="BodyText"/>
        <w:bidi w:val="0"/>
        <w:jc w:val="start"/>
        <w:rPr/>
      </w:pPr>
      <w:r>
        <w:rPr/>
        <w:t>The July sequence needs explanation; it is not proof of wrongdoing.</w:t>
      </w:r>
    </w:p>
    <w:p>
      <w:pPr>
        <w:pStyle w:val="BodyText"/>
        <w:bidi w:val="0"/>
        <w:jc w:val="start"/>
        <w:rPr/>
      </w:pPr>
      <w:r>
        <w:rPr/>
        <w:t>Use: final verification.</w:t>
      </w:r>
    </w:p>
    <w:p>
      <w:pPr>
        <w:pStyle w:val="Heading2"/>
        <w:bidi w:val="0"/>
        <w:jc w:val="start"/>
        <w:rPr/>
      </w:pPr>
      <w:r>
        <w:rPr/>
        <w:t>Editorial use note</w:t>
      </w:r>
    </w:p>
    <w:p>
      <w:pPr>
        <w:pStyle w:val="BodyText"/>
        <w:bidi w:val="0"/>
        <w:spacing w:before="0" w:after="283"/>
        <w:jc w:val="start"/>
        <w:rPr/>
      </w:pPr>
      <w:r>
        <w:rPr/>
        <w:t>All labels and facts in this sheet are synthetic. Use the source role IDs exactly as shown and preserve the stated conclusion boundary.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游明朝体" w:cs="Arial Unicode MS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 w:before="1224" w:after="1224"/>
      <w:ind w:start="1224" w:end="1224"/>
    </w:pPr>
    <w:rPr>
      <w:rFonts w:ascii="Arial;sans-serif" w:hAnsi="Arial;sans-serif" w:eastAsia="Arial;sans-serif" w:cs="Arial;sans-serif"/>
      <w:color w:val="172033"/>
      <w:sz w:val="24"/>
      <w:szCs w:val="24"/>
      <w:lang w:val="en-US" w:eastAsia="ja-JP" w:bidi="hi-IN"/>
    </w:rPr>
  </w:style>
  <w:style w:type="paragraph" w:styleId="Heading1">
    <w:name w:val="heading 1"/>
    <w:basedOn w:val="Heading"/>
    <w:next w:val="BodyText"/>
    <w:qFormat/>
    <w:pPr>
      <w:spacing w:before="240" w:after="120"/>
    </w:pPr>
    <w:rPr>
      <w:b/>
      <w:bCs/>
      <w:color w:val="1F4D78"/>
      <w:sz w:val="42"/>
      <w:szCs w:val="42"/>
    </w:rPr>
  </w:style>
  <w:style w:type="paragraph" w:styleId="Heading2">
    <w:name w:val="heading 2"/>
    <w:basedOn w:val="Heading"/>
    <w:next w:val="BodyText"/>
    <w:qFormat/>
    <w:pPr>
      <w:spacing w:before="360" w:after="120"/>
      <w:ind w:start="360" w:end="360"/>
      <w:outlineLvl w:val="1"/>
    </w:pPr>
    <w:rPr>
      <w:rFonts w:ascii="Liberation Serif" w:hAnsi="Liberation Serif" w:eastAsia="游明朝体" w:cs="Arial Unicode MS"/>
      <w:b/>
      <w:bCs/>
      <w:color w:val="2E74B5"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200" w:after="40"/>
      <w:ind w:start="200" w:end="200"/>
      <w:outlineLvl w:val="2"/>
    </w:pPr>
    <w:rPr>
      <w:rFonts w:ascii="Liberation Serif" w:hAnsi="Liberation Serif" w:eastAsia="游明朝体" w:cs="Arial Unicode MS"/>
      <w:b/>
      <w:bCs/>
      <w:color w:val="1F4D78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ja-JP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