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E6691"/>
          <w:sz w:val="22"/>
        </w:rPr>
        <w:t>CIVIC LEDGER | EDITORIAL RISK BRIEF</w:t>
      </w:r>
    </w:p>
    <w:p>
      <w:pPr>
        <w:spacing w:after="80"/>
      </w:pPr>
      <w:r>
        <w:rPr>
          <w:rFonts w:ascii="Arial" w:hAnsi="Arial"/>
          <w:b/>
          <w:color w:val="111827"/>
          <w:sz w:val="50"/>
        </w:rPr>
        <w:t>Story Alpha and Story Beta 2026</w:t>
      </w:r>
    </w:p>
    <w:p>
      <w:r>
        <w:rPr>
          <w:color w:val="1E6691"/>
          <w:sz w:val="20"/>
        </w:rPr>
        <w:t>Desk: 2026-08-22 | Verified: 2026-08-19 | FOIA batch 17</w:t>
      </w:r>
    </w:p>
    <w:p>
      <w:pPr>
        <w:spacing w:before="240" w:after="100"/>
      </w:pPr>
      <w:r>
        <w:rPr>
          <w:rFonts w:ascii="Arial" w:hAnsi="Arial"/>
          <w:b/>
          <w:color w:val="1E6691"/>
          <w:sz w:val="32"/>
        </w:rPr>
        <w:t>Editorial standard</w:t>
      </w:r>
    </w:p>
    <w:p>
      <w:pPr>
        <w:spacing w:after="120" w:line="269" w:lineRule="auto"/>
      </w:pPr>
      <w:r>
        <w:rPr>
          <w:rFonts w:ascii="Arial" w:hAnsi="Arial"/>
          <w:color w:val="111827"/>
          <w:sz w:val="21"/>
        </w:rPr>
        <w:t>The identified inconsistencies are reporting gaps, not proof of wrongdoing. Publication should distinguish document-backed facts from open questions, seek agency responses, and avoid assigning motive where the record does not support one.</w:t>
      </w:r>
    </w:p>
    <w:p>
      <w:pPr>
        <w:spacing w:before="240" w:after="100"/>
      </w:pPr>
      <w:r>
        <w:rPr>
          <w:rFonts w:ascii="Arial" w:hAnsi="Arial"/>
          <w:b/>
          <w:color w:val="1E6691"/>
          <w:sz w:val="32"/>
        </w:rPr>
        <w:t>Decision 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E6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Story</w:t>
            </w:r>
          </w:p>
        </w:tc>
        <w:tc>
          <w:tcPr>
            <w:tcW w:type="dxa" w:w="2541"/>
            <w:shd w:fill="1E6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Documented record</w:t>
            </w:r>
          </w:p>
        </w:tc>
        <w:tc>
          <w:tcPr>
            <w:tcW w:type="dxa" w:w="2541"/>
            <w:shd w:fill="1E6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Open question</w:t>
            </w:r>
          </w:p>
        </w:tc>
        <w:tc>
          <w:tcPr>
            <w:tcW w:type="dxa" w:w="2541"/>
            <w:shd w:fill="1E6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Publication guardrail</w:t>
            </w:r>
          </w:p>
        </w:tc>
      </w:tr>
      <w:tr>
        <w:tc>
          <w:tcPr>
            <w:tcW w:type="dxa" w:w="2541"/>
            <w:shd w:fill="F1F5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Alpha</w:t>
            </w:r>
          </w:p>
        </w:tc>
        <w:tc>
          <w:tcPr>
            <w:tcW w:type="dxa" w:w="2541"/>
            <w:shd w:fill="F1F5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Alpha-17 Project Lantern; 240 kits; 1,248,000 fictional Civic Credits; award 2026-06-03.</w:t>
            </w:r>
          </w:p>
        </w:tc>
        <w:tc>
          <w:tcPr>
            <w:tcW w:type="dxa" w:w="2541"/>
            <w:shd w:fill="F1F5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Missing quote; 2026-05-28 and 2026-05-30 mismatch.</w:t>
            </w:r>
          </w:p>
        </w:tc>
        <w:tc>
          <w:tcPr>
            <w:tcW w:type="dxa" w:w="2541"/>
            <w:shd w:fill="F1F5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Request source record and date history; state gap precisely.</w:t>
            </w:r>
          </w:p>
        </w:tc>
      </w:tr>
      <w:tr>
        <w:tc>
          <w:tcPr>
            <w:tcW w:type="dxa" w:w="2541"/>
            <w:shd w:fill="F1F5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Beta</w:t>
            </w:r>
          </w:p>
        </w:tc>
        <w:tc>
          <w:tcPr>
            <w:tcW w:type="dxa" w:w="2541"/>
            <w:shd w:fill="F1F5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Beta-09 Route Prism; 96 units; 684,000 fictional Civic Credits; award 2026-06-18.</w:t>
            </w:r>
          </w:p>
        </w:tc>
        <w:tc>
          <w:tcPr>
            <w:tcW w:type="dxa" w:w="2541"/>
            <w:shd w:fill="F1F5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Amendment 2026-07-02; log 2026-07-05.</w:t>
            </w:r>
          </w:p>
        </w:tc>
        <w:tc>
          <w:tcPr>
            <w:tcW w:type="dxa" w:w="2541"/>
            <w:shd w:fill="F1F5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Request routing record and log explanation; do not imply causation.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1E6691"/>
          <w:sz w:val="32"/>
        </w:rPr>
        <w:t>Risk controls</w:t>
      </w:r>
    </w:p>
    <w:p>
      <w:pPr>
        <w:spacing w:after="80"/>
      </w:pPr>
      <w:r>
        <w:rPr>
          <w:rFonts w:ascii="Arial" w:hAnsi="Arial"/>
          <w:sz w:val="21"/>
        </w:rPr>
        <w:t>• Attribution: identify the FOIA record and page count, and describe what the file does not contain without asserting why.</w:t>
      </w:r>
    </w:p>
    <w:p>
      <w:pPr>
        <w:spacing w:after="80"/>
      </w:pPr>
      <w:r>
        <w:rPr>
          <w:rFonts w:ascii="Arial" w:hAnsi="Arial"/>
          <w:sz w:val="21"/>
        </w:rPr>
        <w:t>• Fairness: provide Agency Alpha-17 and Agency Beta-09 a meaningful response window with the exact questions.</w:t>
      </w:r>
    </w:p>
    <w:p>
      <w:pPr>
        <w:spacing w:after="80"/>
      </w:pPr>
      <w:r>
        <w:rPr>
          <w:rFonts w:ascii="Arial" w:hAnsi="Arial"/>
          <w:sz w:val="21"/>
        </w:rPr>
        <w:t>• Language: use "unresolved discrepancy" and "record gap"; avoid "concealed," "improper," or similar conclusions.</w:t>
      </w:r>
    </w:p>
    <w:p>
      <w:pPr>
        <w:spacing w:after="80"/>
      </w:pPr>
      <w:r>
        <w:rPr>
          <w:rFonts w:ascii="Arial" w:hAnsi="Arial"/>
          <w:sz w:val="21"/>
        </w:rPr>
        <w:t>• Update path: revise promptly if a complete quote record, amendment routing record, or corrected log resolves a gap.</w:t>
      </w:r>
    </w:p>
    <w:p>
      <w:pPr>
        <w:spacing w:before="240" w:after="100"/>
      </w:pPr>
      <w:r>
        <w:rPr>
          <w:rFonts w:ascii="Arial" w:hAnsi="Arial"/>
          <w:b/>
          <w:color w:val="1E6691"/>
          <w:sz w:val="32"/>
        </w:rPr>
        <w:t>[Sources]</w:t>
      </w:r>
    </w:p>
    <w:p>
      <w:pPr>
        <w:spacing w:after="120" w:line="269" w:lineRule="auto"/>
      </w:pPr>
      <w:r>
        <w:rPr>
          <w:rFonts w:ascii="Arial" w:hAnsi="Arial"/>
          <w:color w:val="111827"/>
          <w:sz w:val="21"/>
        </w:rPr>
        <w:t>Synthetic Civic Ledger reporting spine supplied for this assignment; synthetic FOIA batch 17 record identifiers and quantities. No external sources or personal data were used.</w:t>
      </w:r>
    </w:p>
    <w:sectPr w:rsidR="00FC693F" w:rsidRPr="0006063C" w:rsidSect="00034616"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