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Item Review Protocol</w:t>
      </w:r>
    </w:p>
    <w:p>
      <w:pPr>
        <w:jc w:val="center"/>
      </w:pPr>
      <w:r>
        <w:t>Maple Learning | Snapshot 2026-09-14 | Synthetic instructional-design use</w:t>
      </w:r>
    </w:p>
    <w:p>
      <w:pPr>
        <w:pStyle w:val="Heading1"/>
      </w:pPr>
      <w:r>
        <w:t>Review purpose</w:t>
      </w:r>
    </w:p>
    <w:p>
      <w:r>
        <w:t>Confirm that each item is clear, accessible, and mapped to one approved assignment before release.</w:t>
      </w:r>
    </w:p>
    <w:p>
      <w:pPr>
        <w:pStyle w:val="Heading1"/>
      </w:pPr>
      <w:r>
        <w:t>Required checks</w:t>
      </w:r>
    </w:p>
    <w:p>
      <w:r>
        <w:t>Verify a stable synthetic item ID, assignment mapping, response mode, and E6/R6/O4/F4 rubric alignment. The total maximum is exactly 20.</w:t>
      </w:r>
    </w:p>
    <w:p>
      <w:pPr>
        <w:pStyle w:val="Heading1"/>
      </w:pPr>
      <w:r>
        <w:t>Reviewer sequence</w:t>
      </w:r>
    </w:p>
    <w:p>
      <w:r>
        <w:t>Read the prompt; test whether the expected evidence is observable; check response instructions; confirm that no learner identity, contact detail, credential, or real grade appears.</w:t>
      </w:r>
    </w:p>
    <w:p>
      <w:pPr>
        <w:pStyle w:val="Heading1"/>
      </w:pPr>
      <w:r>
        <w:t>Disposition</w:t>
      </w:r>
    </w:p>
    <w:p>
      <w:r>
        <w:t>Record one of: approved, revise for clarity, revise for alignment. A revision must be reviewed again before release.</w:t>
      </w:r>
    </w:p>
    <w:p>
      <w:pPr>
        <w:pStyle w:val="Heading1"/>
      </w:pPr>
      <w:r>
        <w:t>Approved assignment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Assignment</w:t>
            </w:r>
          </w:p>
        </w:tc>
        <w:tc>
          <w:tcPr>
            <w:tcW w:type="dxa" w:w="4968"/>
          </w:tcPr>
          <w:p>
            <w:r>
              <w:t>Title</w:t>
            </w:r>
          </w:p>
        </w:tc>
      </w:tr>
      <w:tr>
        <w:tc>
          <w:tcPr>
            <w:tcW w:type="dxa" w:w="4968"/>
          </w:tcPr>
          <w:p>
            <w:r>
              <w:t>A-101</w:t>
            </w:r>
          </w:p>
        </w:tc>
        <w:tc>
          <w:tcPr>
            <w:tcW w:type="dxa" w:w="4968"/>
          </w:tcPr>
          <w:p>
            <w:r>
              <w:t>Evidence Map</w:t>
            </w:r>
          </w:p>
        </w:tc>
      </w:tr>
      <w:tr>
        <w:tc>
          <w:tcPr>
            <w:tcW w:type="dxa" w:w="4968"/>
          </w:tcPr>
          <w:p>
            <w:r>
              <w:t>A-102</w:t>
            </w:r>
          </w:p>
        </w:tc>
        <w:tc>
          <w:tcPr>
            <w:tcW w:type="dxa" w:w="4968"/>
          </w:tcPr>
          <w:p>
            <w:r>
              <w:t>Source Comparison</w:t>
            </w:r>
          </w:p>
        </w:tc>
      </w:tr>
      <w:tr>
        <w:tc>
          <w:tcPr>
            <w:tcW w:type="dxa" w:w="4968"/>
          </w:tcPr>
          <w:p>
            <w:r>
              <w:t>A-103</w:t>
            </w:r>
          </w:p>
        </w:tc>
        <w:tc>
          <w:tcPr>
            <w:tcW w:type="dxa" w:w="4968"/>
          </w:tcPr>
          <w:p>
            <w:r>
              <w:t>Claim-Evidence-Reasoning Brief</w:t>
            </w:r>
          </w:p>
        </w:tc>
      </w:tr>
      <w:tr>
        <w:tc>
          <w:tcPr>
            <w:tcW w:type="dxa" w:w="4968"/>
          </w:tcPr>
          <w:p>
            <w:r>
              <w:t>B-201</w:t>
            </w:r>
          </w:p>
        </w:tc>
        <w:tc>
          <w:tcPr>
            <w:tcW w:type="dxa" w:w="4968"/>
          </w:tcPr>
          <w:p>
            <w:r>
              <w:t>Scenario Map</w:t>
            </w:r>
          </w:p>
        </w:tc>
      </w:tr>
      <w:tr>
        <w:tc>
          <w:tcPr>
            <w:tcW w:type="dxa" w:w="4968"/>
          </w:tcPr>
          <w:p>
            <w:r>
              <w:t>B-202</w:t>
            </w:r>
          </w:p>
        </w:tc>
        <w:tc>
          <w:tcPr>
            <w:tcW w:type="dxa" w:w="4968"/>
          </w:tcPr>
          <w:p>
            <w:r>
              <w:t>Model Test</w:t>
            </w:r>
          </w:p>
        </w:tc>
      </w:tr>
      <w:tr>
        <w:tc>
          <w:tcPr>
            <w:tcW w:type="dxa" w:w="4968"/>
          </w:tcPr>
          <w:p>
            <w:r>
              <w:t>B-203</w:t>
            </w:r>
          </w:p>
        </w:tc>
        <w:tc>
          <w:tcPr>
            <w:tcW w:type="dxa" w:w="4968"/>
          </w:tcPr>
          <w:p>
            <w:r>
              <w:t>Design Critique</w:t>
            </w:r>
          </w:p>
        </w:tc>
      </w:tr>
    </w:tbl>
    <w:p>
      <w:r>
        <w:t>This protocol applies to Course Alpha 2026 Term 1 and Course Beta 2026 Term 2 within the synthetic Maple Learning environment.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