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63A5F"/>
          <w:sz w:val="48"/>
        </w:rPr>
        <w:t>Course Design Reference Guide</w:t>
      </w:r>
    </w:p>
    <w:p>
      <w:r>
        <w:rPr>
          <w:i/>
          <w:sz w:val="18"/>
        </w:rPr>
        <w:t>Maple Learning | snapshot 2026-09-14 | Course Alpha 2026 Term 1 | Course Beta 2026 Term 2 | 36 synthetic learners | Evidence E6 + Reasoning R6 + Organization O4 + Format F4 = 20</w:t>
      </w:r>
    </w:p>
    <w:p>
      <w:pPr>
        <w:pStyle w:val="Heading1"/>
      </w:pPr>
      <w:r>
        <w:t>A shared design frame</w:t>
      </w:r>
    </w:p>
    <w:p>
      <w:r>
        <w:t>This original Maple Learning guide aligns Course Alpha 2026 Term 1 and Course Beta 2026 Term 2 around observable evidence. Each of the 36 synthetic learners encounters a clear task, accessible support, and a rubric: Evidence E6, Reasoning R6, Organization O4, Format F4; total 20.</w:t>
      </w:r>
    </w:p>
    <w:p>
      <w:pPr>
        <w:pStyle w:val="Heading1"/>
      </w:pPr>
      <w:r>
        <w:t>Design sequence</w:t>
      </w:r>
    </w:p>
    <w:p>
      <w:pPr>
        <w:pStyle w:val="ListBullet"/>
      </w:pPr>
      <w:r>
        <w:t>Name the evidence learners will make visible before planning activities.</w:t>
      </w:r>
    </w:p>
    <w:p>
      <w:pPr>
        <w:pStyle w:val="ListBullet"/>
      </w:pPr>
      <w:r>
        <w:t>Offer multiple ways to encounter instructions, rehearse an approach, and communicate a response.</w:t>
      </w:r>
    </w:p>
    <w:p>
      <w:pPr>
        <w:pStyle w:val="ListBullet"/>
      </w:pPr>
      <w:r>
        <w:t>Use the same 20-point rubric language across feedback, self-checks, and LMS exports.</w:t>
      </w:r>
    </w:p>
    <w:p>
      <w:pPr>
        <w:pStyle w:val="Heading1"/>
      </w:pPr>
      <w:r>
        <w:t>Six shared assignment references</w:t>
      </w:r>
    </w:p>
    <w:tbl>
      <w:tblPr>
        <w:tblStyle w:val="TableGrid"/>
        <w:tblW w:type="auto" w:w="0"/>
        <w:jc w:val="left"/>
        <w:tblLook w:firstColumn="1" w:firstRow="1" w:lastColumn="0" w:lastRow="0" w:noHBand="0" w:noVBand="1" w:val="04A0"/>
      </w:tblPr>
      <w:tblGrid>
        <w:gridCol w:w="3312"/>
        <w:gridCol w:w="3312"/>
        <w:gridCol w:w="3312"/>
      </w:tblGrid>
      <w:tr>
        <w:tc>
          <w:tcPr>
            <w:tcW w:type="dxa" w:w="3312"/>
            <w:shd w:fill="E5F0EA"/>
          </w:tcPr>
          <w:p>
            <w:r>
              <w:t>Course</w:t>
            </w:r>
          </w:p>
        </w:tc>
        <w:tc>
          <w:tcPr>
            <w:tcW w:type="dxa" w:w="3312"/>
            <w:shd w:fill="E5F0EA"/>
          </w:tcPr>
          <w:p>
            <w:r>
              <w:t>ID</w:t>
            </w:r>
          </w:p>
        </w:tc>
        <w:tc>
          <w:tcPr>
            <w:tcW w:type="dxa" w:w="3312"/>
            <w:shd w:fill="E5F0EA"/>
          </w:tcPr>
          <w:p>
            <w:r>
              <w:t>Title</w:t>
            </w:r>
          </w:p>
        </w:tc>
      </w:tr>
      <w:tr>
        <w:tc>
          <w:tcPr>
            <w:tcW w:type="dxa" w:w="3312"/>
            <w:vAlign w:val="center"/>
          </w:tcPr>
          <w:p>
            <w:r>
              <w:t>Course Alpha Term 1</w:t>
            </w:r>
          </w:p>
        </w:tc>
        <w:tc>
          <w:tcPr>
            <w:tcW w:type="dxa" w:w="3312"/>
            <w:vAlign w:val="center"/>
          </w:tcPr>
          <w:p>
            <w:r>
              <w:t>A-101</w:t>
            </w:r>
          </w:p>
        </w:tc>
        <w:tc>
          <w:tcPr>
            <w:tcW w:type="dxa" w:w="3312"/>
            <w:vAlign w:val="center"/>
          </w:tcPr>
          <w:p>
            <w:r>
              <w:t>Evidence Map</w:t>
            </w:r>
          </w:p>
        </w:tc>
      </w:tr>
      <w:tr>
        <w:tc>
          <w:tcPr>
            <w:tcW w:type="dxa" w:w="3312"/>
            <w:vAlign w:val="center"/>
          </w:tcPr>
          <w:p>
            <w:r>
              <w:t>Course Alpha Term 1</w:t>
            </w:r>
          </w:p>
        </w:tc>
        <w:tc>
          <w:tcPr>
            <w:tcW w:type="dxa" w:w="3312"/>
            <w:vAlign w:val="center"/>
          </w:tcPr>
          <w:p>
            <w:r>
              <w:t>A-102</w:t>
            </w:r>
          </w:p>
        </w:tc>
        <w:tc>
          <w:tcPr>
            <w:tcW w:type="dxa" w:w="3312"/>
            <w:vAlign w:val="center"/>
          </w:tcPr>
          <w:p>
            <w:r>
              <w:t>Source Comparison</w:t>
            </w:r>
          </w:p>
        </w:tc>
      </w:tr>
      <w:tr>
        <w:tc>
          <w:tcPr>
            <w:tcW w:type="dxa" w:w="3312"/>
            <w:vAlign w:val="center"/>
          </w:tcPr>
          <w:p>
            <w:r>
              <w:t>Course Alpha Term 1</w:t>
            </w:r>
          </w:p>
        </w:tc>
        <w:tc>
          <w:tcPr>
            <w:tcW w:type="dxa" w:w="3312"/>
            <w:vAlign w:val="center"/>
          </w:tcPr>
          <w:p>
            <w:r>
              <w:t>A-103</w:t>
            </w:r>
          </w:p>
        </w:tc>
        <w:tc>
          <w:tcPr>
            <w:tcW w:type="dxa" w:w="3312"/>
            <w:vAlign w:val="center"/>
          </w:tcPr>
          <w:p>
            <w:r>
              <w:t>Claim-Evidence-Reasoning Brief</w:t>
            </w:r>
          </w:p>
        </w:tc>
      </w:tr>
      <w:tr>
        <w:tc>
          <w:tcPr>
            <w:tcW w:type="dxa" w:w="3312"/>
            <w:vAlign w:val="center"/>
          </w:tcPr>
          <w:p>
            <w:r>
              <w:t>Course Beta Term 2</w:t>
            </w:r>
          </w:p>
        </w:tc>
        <w:tc>
          <w:tcPr>
            <w:tcW w:type="dxa" w:w="3312"/>
            <w:vAlign w:val="center"/>
          </w:tcPr>
          <w:p>
            <w:r>
              <w:t>B-201</w:t>
            </w:r>
          </w:p>
        </w:tc>
        <w:tc>
          <w:tcPr>
            <w:tcW w:type="dxa" w:w="3312"/>
            <w:vAlign w:val="center"/>
          </w:tcPr>
          <w:p>
            <w:r>
              <w:t>Scenario Map</w:t>
            </w:r>
          </w:p>
        </w:tc>
      </w:tr>
      <w:tr>
        <w:tc>
          <w:tcPr>
            <w:tcW w:type="dxa" w:w="3312"/>
            <w:vAlign w:val="center"/>
          </w:tcPr>
          <w:p>
            <w:r>
              <w:t>Course Beta Term 2</w:t>
            </w:r>
          </w:p>
        </w:tc>
        <w:tc>
          <w:tcPr>
            <w:tcW w:type="dxa" w:w="3312"/>
            <w:vAlign w:val="center"/>
          </w:tcPr>
          <w:p>
            <w:r>
              <w:t>B-202</w:t>
            </w:r>
          </w:p>
        </w:tc>
        <w:tc>
          <w:tcPr>
            <w:tcW w:type="dxa" w:w="3312"/>
            <w:vAlign w:val="center"/>
          </w:tcPr>
          <w:p>
            <w:r>
              <w:t>Model Test</w:t>
            </w:r>
          </w:p>
        </w:tc>
      </w:tr>
      <w:tr>
        <w:tc>
          <w:tcPr>
            <w:tcW w:type="dxa" w:w="3312"/>
            <w:vAlign w:val="center"/>
          </w:tcPr>
          <w:p>
            <w:r>
              <w:t>Course Beta Term 2</w:t>
            </w:r>
          </w:p>
        </w:tc>
        <w:tc>
          <w:tcPr>
            <w:tcW w:type="dxa" w:w="3312"/>
            <w:vAlign w:val="center"/>
          </w:tcPr>
          <w:p>
            <w:r>
              <w:t>B-203</w:t>
            </w:r>
          </w:p>
        </w:tc>
        <w:tc>
          <w:tcPr>
            <w:tcW w:type="dxa" w:w="3312"/>
            <w:vAlign w:val="center"/>
          </w:tcPr>
          <w:p>
            <w:r>
              <w:t>Design Critique</w:t>
            </w:r>
          </w:p>
        </w:tc>
      </w:tr>
    </w:tbl>
    <w:p>
      <w:pPr>
        <w:pStyle w:val="Heading1"/>
      </w:pPr>
      <w:r>
        <w:t>Reference check</w:t>
      </w:r>
    </w:p>
    <w:p>
      <w:r>
        <w:t>Before a learning sequence is shared, confirm that the objective, task evidence, feedback language, and rubric descriptors point to the same learner action. Use Evidence E6, Reasoning R6, Organization O4, and Format F4 for a total of 20. This guide contains no learner records or individual scores.</w:t>
      </w:r>
    </w:p>
    <w:sectPr w:rsidR="00FC693F" w:rsidRPr="0006063C" w:rsidSect="00034616">
      <w:pgSz w:w="12240" w:h="15840"/>
      <w:pgMar w:top="1152"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Design Reference Guide</dc:title>
  <dc:subject>Synthetic instructional design reference</dc:subject>
  <dc:creator>Maple Learning</dc:creator>
  <cp:keywords/>
  <dc:description/>
  <cp:lastModifiedBy/>
  <cp:revision>1</cp:revision>
  <dcterms:created xsi:type="dcterms:W3CDTF">2013-12-23T23:15:00Z</dcterms:created>
  <dcterms:modified xsi:type="dcterms:W3CDTF">2013-12-23T23:15:00Z</dcterms:modified>
  <cp:category/>
</cp:coreProperties>
</file>