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324D"/>
          <w:sz w:val="18"/>
        </w:rPr>
        <w:t>MAPLE LEARNING | COURSE BETA 2026 TERM 2</w:t>
      </w:r>
    </w:p>
    <w:p>
      <w:pPr>
        <w:spacing w:after="120"/>
      </w:pPr>
      <w:r>
        <w:rPr>
          <w:b/>
          <w:color w:val="2E74B5"/>
          <w:sz w:val="40"/>
        </w:rPr>
        <w:t>Lesson 03: Design Critique</w:t>
      </w:r>
    </w:p>
    <w:p>
      <w:pPr>
        <w:spacing w:after="240" w:line="264" w:lineRule="auto"/>
      </w:pPr>
      <w:r>
        <w:rPr>
          <w:rFonts w:ascii="Calibri" w:hAnsi="Calibri"/>
          <w:b w:val="0"/>
          <w:color w:val="666666"/>
          <w:sz w:val="18"/>
        </w:rPr>
        <w:t>Synthetic instructional record | Snapshot 2026-09-14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Audience</w:t>
              <w:br/>
            </w:r>
            <w:r>
              <w:rPr>
                <w:sz w:val="18"/>
              </w:rPr>
              <w:t>36 synthetic learner IDs ML26-S001 through ML26-S036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Assessment</w:t>
              <w:br/>
            </w:r>
            <w:r>
              <w:rPr>
                <w:sz w:val="18"/>
              </w:rPr>
              <w:t>B-201 Scenario Map; B-202 Model Test; B-203 Design Critique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Objective</w:t>
              <w:br/>
            </w:r>
            <w:r>
              <w:rPr>
                <w:sz w:val="18"/>
              </w:rPr>
              <w:t>Use B-203 to improve a claim-evidence-reasoning brief.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/>
                <w:sz w:val="18"/>
              </w:rPr>
              <w:t>Rubric</w:t>
              <w:br/>
            </w:r>
            <w:r>
              <w:rPr>
                <w:sz w:val="18"/>
              </w:rPr>
              <w:t>E6 / R6 / O4 / F4 = 20 points</w:t>
            </w:r>
          </w:p>
        </w:tc>
      </w:tr>
    </w:tbl>
    <w:p>
      <w:pPr>
        <w:spacing w:after="160" w:line="264" w:lineRule="auto"/>
      </w:pPr>
      <w:r>
        <w:rPr>
          <w:rFonts w:ascii="Calibri" w:hAnsi="Calibri"/>
          <w:b/>
          <w:color w:val="2E74B5"/>
          <w:sz w:val="28"/>
        </w:rPr>
        <w:t>Lesson sequence</w:t>
      </w:r>
    </w:p>
    <w:p>
      <w:pPr>
        <w:spacing w:after="100" w:line="264" w:lineRule="auto"/>
      </w:pPr>
      <w:r>
        <w:rPr>
          <w:rFonts w:ascii="Calibri" w:hAnsi="Calibri"/>
          <w:b w:val="0"/>
          <w:sz w:val="22"/>
        </w:rPr>
        <w:t>1. Exchange critique prompts without learner names.</w:t>
      </w:r>
    </w:p>
    <w:p>
      <w:pPr>
        <w:spacing w:after="100" w:line="264" w:lineRule="auto"/>
      </w:pPr>
      <w:r>
        <w:rPr>
          <w:rFonts w:ascii="Calibri" w:hAnsi="Calibri"/>
          <w:b w:val="0"/>
          <w:sz w:val="22"/>
        </w:rPr>
        <w:t>2. Check evidence, reasoning, organization, and feedback response.</w:t>
      </w:r>
    </w:p>
    <w:p>
      <w:pPr>
        <w:spacing w:after="100" w:line="264" w:lineRule="auto"/>
      </w:pPr>
      <w:r>
        <w:rPr>
          <w:rFonts w:ascii="Calibri" w:hAnsi="Calibri"/>
          <w:b w:val="0"/>
          <w:sz w:val="22"/>
        </w:rPr>
        <w:t>3. Submit a revision note with the updated model.</w:t>
      </w:r>
    </w:p>
    <w:p>
      <w:pPr>
        <w:spacing w:after="160" w:line="264" w:lineRule="auto"/>
      </w:pPr>
      <w:r>
        <w:rPr>
          <w:rFonts w:ascii="Calibri" w:hAnsi="Calibri"/>
          <w:b/>
          <w:color w:val="2E74B5"/>
          <w:sz w:val="28"/>
        </w:rPr>
        <w:t>Evidence prompt</w:t>
      </w:r>
    </w:p>
    <w:p>
      <w:pPr>
        <w:spacing w:after="120" w:line="264" w:lineRule="auto"/>
      </w:pPr>
      <w:r>
        <w:rPr>
          <w:rFonts w:ascii="Calibri" w:hAnsi="Calibri"/>
          <w:b w:val="0"/>
          <w:sz w:val="22"/>
        </w:rPr>
        <w:t>Learners use only the synthetic scenario materials to state a claim, cite observable evidence, explain reasoning, and identify one revision decision.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Maple Learning | 2026-09-14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