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Synthetic learner work: B-203 Design Critique</w:t>
      </w:r>
    </w:p>
    <w:p>
      <w:r>
        <w:t>Maple Learning | Course Beta 2026 Term 2 | 2026-09-14 | synthetic cohort 36 | rubric 20 (E6/R6/O4/F4)</w:t>
      </w:r>
    </w:p>
    <w:p>
      <w:pPr>
        <w:pStyle w:val="Heading1"/>
      </w:pPr>
      <w:r>
        <w:t>Learning artifact</w:t>
      </w:r>
    </w:p>
    <w:p>
      <w:r>
        <w:t>Learner ID: ML26-S033. Focus: critique a design choice with evidence. This fictional response frames a course scenario, identifies usable evidence, and explains a revision decision. It contains no real learner data.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Rubric area</w:t>
            </w:r>
          </w:p>
        </w:tc>
        <w:tc>
          <w:tcPr>
            <w:tcW w:type="dxa" w:w="3120"/>
          </w:tcPr>
          <w:p>
            <w:r>
              <w:t>Evidence from work</w:t>
            </w:r>
          </w:p>
        </w:tc>
        <w:tc>
          <w:tcPr>
            <w:tcW w:type="dxa" w:w="3120"/>
          </w:tcPr>
          <w:p>
            <w:r>
              <w:t>Points</w:t>
            </w:r>
          </w:p>
        </w:tc>
      </w:tr>
      <w:tr>
        <w:tc>
          <w:tcPr>
            <w:tcW w:type="dxa" w:w="3120"/>
            <w:vAlign w:val="center"/>
          </w:tcPr>
          <w:p>
            <w:r>
              <w:t>E: Evidence</w:t>
            </w:r>
          </w:p>
        </w:tc>
        <w:tc>
          <w:tcPr>
            <w:tcW w:type="dxa" w:w="3120"/>
            <w:vAlign w:val="center"/>
          </w:tcPr>
          <w:p>
            <w:r>
              <w:t>Two relevant observations support the map.</w:t>
            </w:r>
          </w:p>
        </w:tc>
        <w:tc>
          <w:tcPr>
            <w:tcW w:type="dxa" w:w="3120"/>
            <w:vAlign w:val="center"/>
          </w:tcPr>
          <w:p>
            <w:r>
              <w:t>6</w:t>
            </w:r>
          </w:p>
        </w:tc>
      </w:tr>
      <w:tr>
        <w:tc>
          <w:tcPr>
            <w:tcW w:type="dxa" w:w="3120"/>
            <w:vAlign w:val="center"/>
          </w:tcPr>
          <w:p>
            <w:r>
              <w:t>R: Reasoning</w:t>
            </w:r>
          </w:p>
        </w:tc>
        <w:tc>
          <w:tcPr>
            <w:tcW w:type="dxa" w:w="3120"/>
            <w:vAlign w:val="center"/>
          </w:tcPr>
          <w:p>
            <w:r>
              <w:t>The link between observation and claim is explicit.</w:t>
            </w:r>
          </w:p>
        </w:tc>
        <w:tc>
          <w:tcPr>
            <w:tcW w:type="dxa" w:w="3120"/>
            <w:vAlign w:val="center"/>
          </w:tcPr>
          <w:p>
            <w:r>
              <w:t>3</w:t>
            </w:r>
          </w:p>
        </w:tc>
      </w:tr>
      <w:tr>
        <w:tc>
          <w:tcPr>
            <w:tcW w:type="dxa" w:w="3120"/>
            <w:vAlign w:val="center"/>
          </w:tcPr>
          <w:p>
            <w:r>
              <w:t>O: Organization</w:t>
            </w:r>
          </w:p>
        </w:tc>
        <w:tc>
          <w:tcPr>
            <w:tcW w:type="dxa" w:w="3120"/>
            <w:vAlign w:val="center"/>
          </w:tcPr>
          <w:p>
            <w:r>
              <w:t>Labels support a clear reading path.</w:t>
            </w:r>
          </w:p>
        </w:tc>
        <w:tc>
          <w:tcPr>
            <w:tcW w:type="dxa" w:w="3120"/>
            <w:vAlign w:val="center"/>
          </w:tcPr>
          <w:p>
            <w:r>
              <w:t>2</w:t>
            </w:r>
          </w:p>
        </w:tc>
      </w:tr>
      <w:tr>
        <w:tc>
          <w:tcPr>
            <w:tcW w:type="dxa" w:w="3120"/>
            <w:vAlign w:val="center"/>
          </w:tcPr>
          <w:p>
            <w:r>
              <w:t>F: Format</w:t>
            </w:r>
          </w:p>
        </w:tc>
        <w:tc>
          <w:tcPr>
            <w:tcW w:type="dxa" w:w="3120"/>
            <w:vAlign w:val="center"/>
          </w:tcPr>
          <w:p>
            <w:r>
              <w:t>The layout keeps the response usable for review.</w:t>
            </w:r>
          </w:p>
        </w:tc>
        <w:tc>
          <w:tcPr>
            <w:tcW w:type="dxa" w:w="3120"/>
            <w:vAlign w:val="center"/>
          </w:tcPr>
          <w:p>
            <w:r>
              <w:t>2</w:t>
            </w:r>
          </w:p>
        </w:tc>
      </w:tr>
      <w:tr>
        <w:tc>
          <w:tcPr>
            <w:tcW w:type="dxa" w:w="3120"/>
            <w:vAlign w:val="center"/>
          </w:tcPr>
          <w:p>
            <w:r>
              <w:t>Total</w:t>
            </w:r>
          </w:p>
        </w:tc>
        <w:tc>
          <w:tcPr>
            <w:tcW w:type="dxa" w:w="3120"/>
            <w:vAlign w:val="center"/>
          </w:tcPr>
          <w:p>
            <w:r>
              <w:t>Synthetic rubric total / 20</w:t>
            </w:r>
          </w:p>
        </w:tc>
        <w:tc>
          <w:tcPr>
            <w:tcW w:type="dxa" w:w="3120"/>
            <w:vAlign w:val="center"/>
          </w:tcPr>
          <w:p>
            <w:r>
              <w:t>13</w:t>
            </w:r>
          </w:p>
        </w:tc>
      </w:tr>
    </w:tbl>
    <w:p>
      <w:pPr>
        <w:pStyle w:val="Heading1"/>
      </w:pPr>
      <w:r>
        <w:t>Revision note</w:t>
      </w:r>
    </w:p>
    <w:p>
      <w:r>
        <w:t>Next, I would compare one alternative scenario path and record whether the same evidence changes the recommendation. This keeps the model test bounded and inspectable.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B2545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