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01828"/>
          <w:sz w:val="48"/>
        </w:rPr>
        <w:t>Lecture Facilitation Notes</w:t>
      </w:r>
    </w:p>
    <w:p>
      <w:pPr>
        <w:spacing w:after="320"/>
      </w:pPr>
      <w:r>
        <w:t>Maple Learning | Synthetic snapshot 2026-09-14 | Course Alpha 2026 Term 1 and Course Beta 2026 Term 2</w:t>
      </w:r>
    </w:p>
    <w:p>
      <w:pPr>
        <w:pStyle w:val="Heading1"/>
      </w:pPr>
      <w:r>
        <w:t>Opening routine</w:t>
      </w:r>
    </w:p>
    <w:p>
      <w:pPr>
        <w:spacing w:after="160"/>
      </w:pPr>
      <w:r>
        <w:t>Invite learners to name one claim or scenario assumption before introducing the lecture focus. Keep all examples wholly synthetic.</w:t>
      </w:r>
    </w:p>
    <w:p>
      <w:pPr>
        <w:pStyle w:val="Heading1"/>
      </w:pPr>
      <w:r>
        <w:t>Course Alpha: evidence and comparison</w:t>
      </w:r>
    </w:p>
    <w:p>
      <w:pPr>
        <w:spacing w:after="160"/>
      </w:pPr>
      <w:r>
        <w:t>For A-101 Evidence Map and A-102 Source Comparison, ask learners to distinguish relevance from sufficiency. Prompt them to state a limit alongside each evidence choice.</w:t>
      </w:r>
    </w:p>
    <w:p>
      <w:pPr>
        <w:pStyle w:val="Heading1"/>
      </w:pPr>
      <w:r>
        <w:t>Course Alpha: feedback and revision</w:t>
      </w:r>
    </w:p>
    <w:p>
      <w:pPr>
        <w:spacing w:after="160"/>
      </w:pPr>
      <w:r>
        <w:t>For A-103 Claim-Evidence-Reasoning Brief, use reader questions to identify the link that needs revision. The shared rubric is 20 points: Evidence 6, Reasoning 6, Organization 4, Format 4.</w:t>
      </w:r>
    </w:p>
    <w:p>
      <w:pPr>
        <w:pStyle w:val="Heading1"/>
      </w:pPr>
      <w:r>
        <w:t>Course Beta: scenario and model</w:t>
      </w:r>
    </w:p>
    <w:p>
      <w:pPr>
        <w:spacing w:after="160"/>
      </w:pPr>
      <w:r>
        <w:t>For B-201 Scenario Map and B-202 Model Test, ask what observation would make the current model less plausible. Invite revisions that preserve the scenario constraints.</w:t>
      </w:r>
    </w:p>
    <w:p>
      <w:pPr>
        <w:pStyle w:val="Heading1"/>
      </w:pPr>
      <w:r>
        <w:t>Course Beta: critique</w:t>
      </w:r>
    </w:p>
    <w:p>
      <w:pPr>
        <w:spacing w:after="160"/>
      </w:pPr>
      <w:r>
        <w:t>For B-203 Design Critique, request feedback in four parts: criterion, design choice, consequence, and proposed revision.</w:t>
      </w:r>
    </w:p>
    <w:p>
      <w:pPr>
        <w:pStyle w:val="Heading1"/>
      </w:pPr>
      <w:r>
        <w:t>Closing check</w:t>
      </w:r>
    </w:p>
    <w:p>
      <w:pPr>
        <w:spacing w:after="160"/>
      </w:pPr>
      <w:r>
        <w:t>Ask learners to complete: “A reader can follow my judgment when I show…” Collect no personal information or grades; use only the synthetic learner set ML26-S001 through ML26-S036 when an identifier is needed.</w:t>
      </w:r>
    </w:p>
    <w:p>
      <w:pPr>
        <w:pStyle w:val="Heading2"/>
      </w:pPr>
      <w:r>
        <w:t>Facilitation principle</w:t>
      </w:r>
    </w:p>
    <w:p>
      <w:r>
        <w:t>Make the criterion visible before asking for a response. This keeps evidence, reasoning, organization, and format aligned across the synthetic course sequence.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47D9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