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8"/>
        </w:rPr>
        <w:t>Peer Observation Protocol</w:t>
      </w:r>
    </w:p>
    <w:p>
      <w:r>
        <w:rPr>
          <w:i/>
          <w:color w:val="595959"/>
        </w:rPr>
        <w:t>Maple Learning | Professional development | Snapshot 2026-09-14</w:t>
      </w:r>
    </w:p>
    <w:p>
      <w:r>
        <w:t>Purpose: support a low-stakes observation conversation about accessible assessment design in the shared synthetic Maple Learning environment. This protocol contains no real learner data. Course Alpha 2026 Term 1 and Course Beta 2026 Term 2 serve ML26-S001 through ML26-S036.</w:t>
      </w:r>
    </w:p>
    <w:p>
      <w:pPr>
        <w:pStyle w:val="Heading1"/>
      </w:pPr>
      <w:r>
        <w:t>Observation focus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b/>
              </w:rPr>
              <w:t>Look for</w:t>
            </w:r>
          </w:p>
        </w:tc>
        <w:tc>
          <w:tcPr>
            <w:tcW w:type="dxa" w:w="4896"/>
            <w:shd w:fill="D9EAF7"/>
            <w:vAlign w:val="center"/>
          </w:tcPr>
          <w:p>
            <w:r>
              <w:rPr>
                <w:b/>
              </w:rPr>
              <w:t>Evidence to note</w:t>
            </w:r>
          </w:p>
        </w:tc>
      </w:tr>
      <w:tr>
        <w:tc>
          <w:tcPr>
            <w:tcW w:type="dxa" w:w="4896"/>
          </w:tcPr>
          <w:p>
            <w:r>
              <w:t>Learning goal clarity</w:t>
            </w:r>
          </w:p>
        </w:tc>
        <w:tc>
          <w:tcPr>
            <w:tcW w:type="dxa" w:w="4896"/>
          </w:tcPr>
          <w:p>
            <w:r>
              <w:t>Directions name the knowledge or practice learners are developing.</w:t>
            </w:r>
          </w:p>
        </w:tc>
      </w:tr>
      <w:tr>
        <w:tc>
          <w:tcPr>
            <w:tcW w:type="dxa" w:w="4896"/>
          </w:tcPr>
          <w:p>
            <w:r>
              <w:t>Access and choice</w:t>
            </w:r>
          </w:p>
        </w:tc>
        <w:tc>
          <w:tcPr>
            <w:tcW w:type="dxa" w:w="4896"/>
          </w:tcPr>
          <w:p>
            <w:r>
              <w:t>Instructions provide text-first access and a valid response option.</w:t>
            </w:r>
          </w:p>
        </w:tc>
      </w:tr>
      <w:tr>
        <w:tc>
          <w:tcPr>
            <w:tcW w:type="dxa" w:w="4896"/>
          </w:tcPr>
          <w:p>
            <w:r>
              <w:t>Feedback usefulness</w:t>
            </w:r>
          </w:p>
        </w:tc>
        <w:tc>
          <w:tcPr>
            <w:tcW w:type="dxa" w:w="4896"/>
          </w:tcPr>
          <w:p>
            <w:r>
              <w:t>Feedback identifies one visible strength and one actionable next move.</w:t>
            </w:r>
          </w:p>
        </w:tc>
      </w:tr>
      <w:tr>
        <w:tc>
          <w:tcPr>
            <w:tcW w:type="dxa" w:w="4896"/>
          </w:tcPr>
          <w:p>
            <w:r>
              <w:t>Rubric consistency</w:t>
            </w:r>
          </w:p>
        </w:tc>
        <w:tc>
          <w:tcPr>
            <w:tcW w:type="dxa" w:w="4896"/>
          </w:tcPr>
          <w:p>
            <w:r>
              <w:t>The 20-point rubric remains Evidence E6, Reasoning R6, Organization O4, Format F4.</w:t>
            </w:r>
          </w:p>
        </w:tc>
      </w:tr>
    </w:tbl>
    <w:p>
      <w:pPr>
        <w:pStyle w:val="Heading1"/>
      </w:pPr>
      <w:r>
        <w:t>Preparation</w:t>
      </w:r>
    </w:p>
    <w:p>
      <w:pPr>
        <w:pStyle w:val="ListBullet"/>
      </w:pPr>
      <w:r>
        <w:t>Choose one assignment: A-101 Evidence Map, A-102 Source Comparison, A-103 Claim-Evidence-Reasoning Brief, B-201 Scenario Map, B-202 Model Test, or B-203 Design Critique.</w:t>
      </w:r>
    </w:p>
    <w:p>
      <w:pPr>
        <w:pStyle w:val="ListBullet"/>
      </w:pPr>
      <w:r>
        <w:t>Read the learning goal and the E6/R6/O4/F4 rubric before the observation.</w:t>
      </w:r>
    </w:p>
    <w:p>
      <w:pPr>
        <w:pStyle w:val="ListBullet"/>
      </w:pPr>
      <w:r>
        <w:t>Agree on a single focus question and a short debrief window.</w:t>
      </w:r>
    </w:p>
    <w:p>
      <w:pPr>
        <w:pStyle w:val="Heading1"/>
      </w:pPr>
      <w:r>
        <w:t>During the observation</w:t>
      </w:r>
    </w:p>
    <w:p>
      <w:pPr>
        <w:pStyle w:val="ListNumber"/>
      </w:pPr>
      <w:r>
        <w:t>Capture neutral, time-stamped notes about what the facilitator says, shows, and invites learners to do.</w:t>
      </w:r>
    </w:p>
    <w:p>
      <w:pPr>
        <w:pStyle w:val="ListNumber"/>
      </w:pPr>
      <w:r>
        <w:t>Record evidence of how learners can locate expectations and use feedback.</w:t>
      </w:r>
    </w:p>
    <w:p>
      <w:pPr>
        <w:pStyle w:val="ListNumber"/>
      </w:pPr>
      <w:r>
        <w:t>Avoid recording names, scores, contact details, or identifying details.</w:t>
      </w:r>
    </w:p>
    <w:p>
      <w:pPr>
        <w:pStyle w:val="Heading1"/>
      </w:pPr>
      <w:r>
        <w:t>Debrief prompts</w:t>
      </w:r>
    </w:p>
    <w:p>
      <w:r>
        <w:t>What did learners need to notice first? Which rubric dimension became visible through the task design? What one adjustment could make the next attempt more accessible without changing the learning goal?</w:t>
      </w:r>
    </w:p>
    <w:p>
      <w:pPr>
        <w:pStyle w:val="Heading1"/>
      </w:pPr>
      <w:r>
        <w:t>Closing record</w:t>
      </w:r>
    </w:p>
    <w:p>
      <w:r>
        <w:t>Observation focus: ______________________________    Next design move: ______________________________</w:t>
      </w:r>
    </w:p>
    <w:p>
      <w:r>
        <w:t>This professional-development record remains within the Maple Learning synthetic environment.</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