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Alpha - Personal Action Notes</w:t>
      </w:r>
    </w:p>
    <w:p>
      <w:r>
        <w:rPr>
          <w:b/>
          <w:color w:val="46525C"/>
        </w:rPr>
        <w:t>Harbor Build | Project Alpha 2026 | 2026-07-29 | CO-014 | JPY 18,600,000</w:t>
      </w:r>
    </w:p>
    <w:p>
      <w:r>
        <w:t>Use: private working notes for coordination follow-through. This is a synthetic project work copy, not an issued instruction or commercial approval.</w:t>
      </w:r>
    </w:p>
    <w:p>
      <w:pPr>
        <w:pStyle w:val="Heading1"/>
      </w:pPr>
      <w:r>
        <w:t>Immediate actions</w:t>
      </w:r>
    </w:p>
    <w:p>
      <w:pPr>
        <w:pStyle w:val="ListBullet"/>
      </w:pPr>
      <w:r>
        <w:t>Reconcile the CO-014 allowance basis against the ceiling-services coordination scope.</w:t>
      </w:r>
    </w:p>
    <w:p>
      <w:pPr>
        <w:pStyle w:val="ListBullet"/>
      </w:pPr>
      <w:r>
        <w:t>Confirm the composite view resolves duct, conduit, cable-tray, and support-zone conflicts.</w:t>
      </w:r>
    </w:p>
    <w:p>
      <w:pPr>
        <w:pStyle w:val="ListBullet"/>
      </w:pPr>
      <w:r>
        <w:t>Separate sequencing assumptions from authorization; retain JPY 18,600,000 as the working review value.</w:t>
      </w:r>
    </w:p>
    <w:p>
      <w:pPr>
        <w:pStyle w:val="ListBullet"/>
      </w:pPr>
      <w:r>
        <w:t>Capture closure evidence in the approved project-control record before external distribution.</w:t>
      </w:r>
    </w:p>
    <w:p>
      <w:pPr>
        <w:pStyle w:val="Heading1"/>
      </w:pPr>
      <w:r>
        <w:t>Open coordination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vAlign w:val="center"/>
          </w:tcPr>
          <w:p>
            <w:r>
              <w:rPr>
                <w:b/>
                <w:color w:val="163A59"/>
              </w:rPr>
              <w:t>Item</w:t>
            </w:r>
          </w:p>
        </w:tc>
        <w:tc>
          <w:tcPr>
            <w:tcW w:type="dxa" w:w="5550"/>
            <w:shd w:fill="E8EEF5"/>
            <w:vAlign w:val="center"/>
          </w:tcPr>
          <w:p>
            <w:r>
              <w:rPr>
                <w:b/>
                <w:color w:val="163A59"/>
              </w:rPr>
              <w:t>Next check</w:t>
            </w:r>
          </w:p>
        </w:tc>
        <w:tc>
          <w:tcPr>
            <w:tcW w:type="dxa" w:w="2010"/>
            <w:shd w:fill="E8EEF5"/>
            <w:vAlign w:val="center"/>
          </w:tcPr>
          <w:p>
            <w:r>
              <w:rPr>
                <w:b/>
                <w:color w:val="163A59"/>
              </w:rPr>
              <w:t>Status</w:t>
            </w:r>
          </w:p>
        </w:tc>
      </w:tr>
      <w:tr>
        <w:tc>
          <w:tcPr>
            <w:tcW w:type="dxa" w:w="1800"/>
            <w:vAlign w:val="top"/>
          </w:tcPr>
          <w:p>
            <w:r>
              <w:t>Duct / conduit interface</w:t>
            </w:r>
          </w:p>
        </w:tc>
        <w:tc>
          <w:tcPr>
            <w:tcW w:type="dxa" w:w="5550"/>
            <w:vAlign w:val="top"/>
          </w:tcPr>
          <w:p>
            <w:r>
              <w:t>Confirm a clear conceptual route in the composite coordination view.</w:t>
            </w:r>
          </w:p>
        </w:tc>
        <w:tc>
          <w:tcPr>
            <w:tcW w:type="dxa" w:w="2010"/>
            <w:vAlign w:val="top"/>
          </w:tcPr>
          <w:p>
            <w: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t>Support allowance</w:t>
            </w:r>
          </w:p>
        </w:tc>
        <w:tc>
          <w:tcPr>
            <w:tcW w:type="dxa" w:w="5550"/>
            <w:vAlign w:val="top"/>
          </w:tcPr>
          <w:p>
            <w:r>
              <w:t>Clarify whether supports are inside the CO-014 working value.</w:t>
            </w:r>
          </w:p>
        </w:tc>
        <w:tc>
          <w:tcPr>
            <w:tcW w:type="dxa" w:w="2010"/>
            <w:vAlign w:val="top"/>
          </w:tcPr>
          <w:p>
            <w: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t>Constrained sequence</w:t>
            </w:r>
          </w:p>
        </w:tc>
        <w:tc>
          <w:tcPr>
            <w:tcW w:type="dxa" w:w="5550"/>
            <w:vAlign w:val="top"/>
          </w:tcPr>
          <w:p>
            <w:r>
              <w:t>Identify which ceiling zones need first-install planning.</w:t>
            </w:r>
          </w:p>
        </w:tc>
        <w:tc>
          <w:tcPr>
            <w:tcW w:type="dxa" w:w="2010"/>
            <w:vAlign w:val="top"/>
          </w:tcPr>
          <w:p>
            <w: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t>Review closure</w:t>
            </w:r>
          </w:p>
        </w:tc>
        <w:tc>
          <w:tcPr>
            <w:tcW w:type="dxa" w:w="5550"/>
            <w:vAlign w:val="top"/>
          </w:tcPr>
          <w:p>
            <w:r>
              <w:t>Log approved response and dated coordination note.</w:t>
            </w:r>
          </w:p>
        </w:tc>
        <w:tc>
          <w:tcPr>
            <w:tcW w:type="dxa" w:w="2010"/>
            <w:vAlign w:val="top"/>
          </w:tcPr>
          <w:p>
            <w:r>
              <w:t>Pending</w:t>
            </w:r>
          </w:p>
        </w:tc>
      </w:tr>
    </w:tbl>
    <w:p>
      <w:pPr>
        <w:pStyle w:val="Heading1"/>
      </w:pPr>
      <w:r>
        <w:t>Review boundary</w:t>
      </w:r>
    </w:p>
    <w:p>
      <w:r>
        <w:t>No site access details, issued drawings, personal data, or executable field direction are included. Use the workface reference photo as a visual discussion aid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37C"/>
        <w:sz w:val="16"/>
      </w:rPr>
      <w:t>Synthetic internal work copy  |  2026-07-29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737C"/>
        <w:sz w:val="16"/>
      </w:rPr>
      <w:t>HARBOR BUILD  |  PROJECT ALPHA 2026  |  PERSONAL ACTION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A5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